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
      </w:pPr>
      <w:r>
        <w:t xml:space="preserve"/>
      </w:r>
    </w:p>
    <w:p>
      <w:pPr>
        <w:jc w:val="center"/>
      </w:pPr>
      <w:r>
        <w:rPr>
          <w:rFonts w:ascii="Cambria" w:cs="Cambria" w:eastAsia="Cambria" w:hAnsi="Cambria"/>
          <w:b/>
          <w:bCs/>
          <w:color w:val="6B4E8E"/>
          <w:spacing w:val="40"/>
          <w:sz w:val="26"/>
          <w:szCs w:val="26"/>
        </w:rPr>
        <w:t xml:space="preserve">PARTICIPANT GUIDE</w:t>
      </w:r>
    </w:p>
    <w:p>
      <w:pPr>
        <w:spacing w:after="80" w:before="150"/>
        <w:jc w:val="center"/>
      </w:pPr>
      <w:r>
        <w:rPr>
          <w:rFonts w:ascii="Cambria" w:cs="Cambria" w:eastAsia="Cambria" w:hAnsi="Cambria"/>
          <w:b/>
          <w:bCs/>
          <w:color w:val="1B6B73"/>
          <w:sz w:val="48"/>
          <w:szCs w:val="48"/>
        </w:rPr>
        <w:t xml:space="preserve">Trauma-Informed Engagement</w:t>
      </w:r>
    </w:p>
    <w:p>
      <w:pPr>
        <w:spacing w:after="300"/>
        <w:jc w:val="center"/>
      </w:pPr>
      <w:r>
        <w:rPr>
          <w:rFonts w:ascii="Cambria" w:cs="Cambria" w:eastAsia="Cambria" w:hAnsi="Cambria"/>
          <w:i/>
          <w:iCs/>
          <w:color w:val="5B3A8E"/>
          <w:sz w:val="26"/>
          <w:szCs w:val="26"/>
        </w:rPr>
        <w:t xml:space="preserve">Supporting Families Through Compassionate Practice</w:t>
      </w:r>
    </w:p>
    <w:tbl>
      <w:tblPr>
        <w:tblW w:type="dxa" w:w="9350"/>
        <w:tblBorders>
          <w:top w:val="none"/>
          <w:left w:val="none"/>
          <w:bottom w:val="none"/>
          <w:right w:val="none"/>
          <w:insideH w:val="none"/>
          <w:insideV w:val="none"/>
        </w:tblBorders>
      </w:tblPr>
      <w:tblGrid>
        <w:gridCol w:w="100"/>
        <w:gridCol w:w="100"/>
      </w:tblGrid>
      <w:tr>
        <w:tc>
          <w:tcPr>
            <w:tcW w:type="dxa" w:w="5350"/>
          </w:tcPr>
          <w:p>
            <w:pPr>
              <w:pBdr>
                <w:bottom w:val="single" w:color="BFBFBF" w:sz="4"/>
              </w:pBdr>
              <w:spacing w:after="60"/>
            </w:pPr>
            <w:r>
              <w:rPr>
                <w:rFonts w:ascii="Cambria" w:cs="Cambria" w:eastAsia="Cambria" w:hAnsi="Cambria"/>
                <w:b/>
                <w:bCs/>
                <w:color w:val="2A2A2A"/>
                <w:sz w:val="21"/>
                <w:szCs w:val="21"/>
              </w:rPr>
              <w:t xml:space="preserve">Name:  </w:t>
            </w:r>
          </w:p>
        </w:tc>
        <w:tc>
          <w:tcPr>
            <w:tcW w:type="dxa" w:w="4000"/>
          </w:tcPr>
          <w:p>
            <w:pPr>
              <w:pBdr>
                <w:bottom w:val="single" w:color="BFBFBF" w:sz="4"/>
              </w:pBdr>
              <w:spacing w:after="60"/>
            </w:pPr>
            <w:r>
              <w:rPr>
                <w:rFonts w:ascii="Cambria" w:cs="Cambria" w:eastAsia="Cambria" w:hAnsi="Cambria"/>
                <w:b/>
                <w:bCs/>
                <w:color w:val="2A2A2A"/>
                <w:sz w:val="21"/>
                <w:szCs w:val="21"/>
              </w:rPr>
              <w:t xml:space="preserve">Date:  </w:t>
            </w:r>
          </w:p>
        </w:tc>
      </w:tr>
    </w:tbl>
    <w:p>
      <w:pPr>
        <w:spacing w:before="260"/>
      </w:pPr>
      <w:r>
        <w:t xml:space="preserve"/>
      </w:r>
    </w:p>
    <w:tbl>
      <w:tblPr>
        <w:tblW w:type="dxa" w:w="9350"/>
        <w:tblBorders>
          <w:top w:val="single" w:color="5FA8AE" w:sz="4"/>
          <w:left w:val="single" w:color="5FA8AE" w:sz="4"/>
          <w:bottom w:val="single" w:color="5FA8AE" w:sz="4"/>
          <w:right w:val="single" w:color="5FA8AE" w:sz="4"/>
          <w:insideH w:val="single" w:color="auto" w:sz="4"/>
          <w:insideV w:val="single" w:color="auto" w:sz="4"/>
        </w:tblBorders>
      </w:tblPr>
      <w:tblGrid>
        <w:gridCol w:w="100"/>
      </w:tblGrid>
      <w:tr>
        <w:tc>
          <w:tcPr>
            <w:tcW w:type="dxa" w:w="9350"/>
            <w:shd w:fill="EEF4F4" w:val="clear"/>
            <w:tcMar>
              <w:top w:type="dxa" w:w="160"/>
              <w:left w:type="dxa" w:w="220"/>
              <w:bottom w:type="dxa" w:w="160"/>
              <w:right w:type="dxa" w:w="220"/>
            </w:tcMar>
          </w:tcPr>
          <w:p>
            <w:pPr>
              <w:spacing w:after="80"/>
            </w:pPr>
            <w:r>
              <w:rPr>
                <w:rFonts w:ascii="Cambria" w:cs="Cambria" w:eastAsia="Cambria" w:hAnsi="Cambria"/>
                <w:b/>
                <w:bCs/>
                <w:color w:val="1B6B73"/>
                <w:sz w:val="22"/>
                <w:szCs w:val="22"/>
              </w:rPr>
              <w:t xml:space="preserve">How to use this guide</w:t>
            </w:r>
          </w:p>
          <w:p>
            <w:pPr>
              <w:spacing w:line="280"/>
            </w:pPr>
            <w:r>
              <w:rPr>
                <w:rFonts w:ascii="Cambria" w:cs="Cambria" w:eastAsia="Cambria" w:hAnsi="Cambria"/>
                <w:color w:val="2A2A2A"/>
                <w:sz w:val="20"/>
                <w:szCs w:val="20"/>
              </w:rPr>
              <w:t xml:space="preserve">This guide follows the presentation section by section. Each page gives you the key ideas so you can stay present in the room instead of racing to write everything down, with space to jot your own notes, reflections, and activity responses as we go. The three case scenarios near the end have extra room to work through as a guided exercise.</w:t>
            </w:r>
          </w:p>
        </w:tc>
      </w:tr>
    </w:tbl>
    <w:p>
      <w:r>
        <w:br w:type="page"/>
      </w:r>
    </w:p>
    <w:p>
      <w:pPr>
        <w:pStyle w:val="Heading1"/>
        <w:spacing w:after="200" w:before="300"/>
      </w:pPr>
      <w:r>
        <w:rPr>
          <w:rFonts w:ascii="Cambria" w:cs="Cambria" w:eastAsia="Cambria" w:hAnsi="Cambria"/>
          <w:b/>
          <w:bCs/>
          <w:color w:val="1B6B73"/>
          <w:sz w:val="32"/>
          <w:szCs w:val="32"/>
        </w:rPr>
        <w:t xml:space="preserve">Today's Agenda</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200"/>
        <w:gridCol w:w="8150"/>
      </w:tblGrid>
      <w:tr>
        <w:trPr>
          <w:tblHeader/>
        </w:trPr>
        <w:tc>
          <w:tcPr>
            <w:tcW w:type="dxa" w:w="1200"/>
            <w:shd w:fill="1B6B73" w:val="clear"/>
            <w:tcMar>
              <w:top w:type="dxa" w:w="80"/>
              <w:left w:type="dxa" w:w="120"/>
              <w:bottom w:type="dxa" w:w="80"/>
              <w:right w:type="dxa" w:w="120"/>
            </w:tcMar>
            <w:vAlign w:val="center"/>
          </w:tcPr>
          <w:p>
            <w:pPr>
              <w:jc w:val="center"/>
            </w:pPr>
            <w:r>
              <w:rPr>
                <w:rFonts w:ascii="Cambria" w:cs="Cambria" w:eastAsia="Cambria" w:hAnsi="Cambria"/>
                <w:b/>
                <w:bCs/>
                <w:color w:val="FFFFFF"/>
                <w:sz w:val="20"/>
                <w:szCs w:val="20"/>
              </w:rPr>
              <w:t xml:space="preserve">#</w:t>
            </w:r>
          </w:p>
        </w:tc>
        <w:tc>
          <w:tcPr>
            <w:tcW w:type="dxa" w:w="8150"/>
            <w:shd w:fill="1B6B73" w:val="clear"/>
            <w:tcMar>
              <w:top w:type="dxa" w:w="80"/>
              <w:left w:type="dxa" w:w="120"/>
              <w:bottom w:type="dxa" w:w="80"/>
              <w:right w:type="dxa" w:w="120"/>
            </w:tcMar>
            <w:vAlign w:val="center"/>
          </w:tcPr>
          <w:p>
            <w:pPr>
              <w:jc w:val="left"/>
            </w:pPr>
            <w:r>
              <w:rPr>
                <w:rFonts w:ascii="Cambria" w:cs="Cambria" w:eastAsia="Cambria" w:hAnsi="Cambria"/>
                <w:b/>
                <w:bCs/>
                <w:color w:val="FFFFFF"/>
                <w:sz w:val="20"/>
                <w:szCs w:val="20"/>
              </w:rPr>
              <w:t xml:space="preserve">Section</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Welcome &amp; Framing</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2</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Session Roadmap</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3</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One-Word Check-In</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4</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Understanding the Role of Trauma</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5</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Types of Trauma &amp; the ACE Study</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6</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Behavior Is Communication</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7</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Core Principles of Trauma-Informed Practice</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8</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Building Trust &amp; Improving Communication</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9</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Self-Awareness: The Practitioner's Tool</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10</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Highlight &amp; Hurdle</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11–14</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Case Scenarios: Destiny, Marcus, Keisha</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15</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What Is Healing-Centered Engagement?</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16</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Fostering Resilience &amp; Long-Term Stability</w:t>
            </w:r>
          </w:p>
        </w:tc>
      </w:tr>
      <w:tr>
        <w:trPr>
          <w:tblHeader w:val="false"/>
        </w:trPr>
        <w:tc>
          <w:tcPr>
            <w:tcW w:type="dxa" w:w="1200"/>
            <w:shd w:fill="EEF4F4"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17</w:t>
            </w:r>
          </w:p>
        </w:tc>
        <w:tc>
          <w:tcPr>
            <w:tcW w:type="dxa" w:w="8150"/>
            <w:shd w:fill="EEF4F4"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Common Ground Challenge</w:t>
            </w:r>
          </w:p>
        </w:tc>
      </w:tr>
      <w:tr>
        <w:trPr>
          <w:tblHeader w:val="false"/>
        </w:trPr>
        <w:tc>
          <w:tcPr>
            <w:tcW w:type="dxa" w:w="1200"/>
            <w:shd w:fill="FFFFFF" w:val="clear"/>
            <w:tcMar>
              <w:top w:type="dxa" w:w="80"/>
              <w:left w:type="dxa" w:w="120"/>
              <w:bottom w:type="dxa" w:w="80"/>
              <w:right w:type="dxa" w:w="120"/>
            </w:tcMar>
            <w:vAlign w:val="center"/>
          </w:tcPr>
          <w:p>
            <w:pPr>
              <w:jc w:val="center"/>
            </w:pPr>
            <w:r>
              <w:rPr>
                <w:rFonts w:ascii="Cambria" w:cs="Cambria" w:eastAsia="Cambria" w:hAnsi="Cambria"/>
                <w:b w:val="false"/>
                <w:bCs w:val="false"/>
                <w:color w:val="2A2A2A"/>
                <w:sz w:val="20"/>
                <w:szCs w:val="20"/>
              </w:rPr>
              <w:t xml:space="preserve">18</w:t>
            </w:r>
          </w:p>
        </w:tc>
        <w:tc>
          <w:tcPr>
            <w:tcW w:type="dxa" w:w="8150"/>
            <w:shd w:fill="FFFFFF" w:val="clear"/>
            <w:tcMar>
              <w:top w:type="dxa" w:w="80"/>
              <w:left w:type="dxa" w:w="120"/>
              <w:bottom w:type="dxa" w:w="80"/>
              <w:right w:type="dxa" w:w="120"/>
            </w:tcMar>
            <w:vAlign w:val="center"/>
          </w:tcPr>
          <w:p>
            <w:pPr>
              <w:jc w:val="left"/>
            </w:pPr>
            <w:r>
              <w:rPr>
                <w:rFonts w:ascii="Cambria" w:cs="Cambria" w:eastAsia="Cambria" w:hAnsi="Cambria"/>
                <w:b w:val="false"/>
                <w:bCs w:val="false"/>
                <w:color w:val="2A2A2A"/>
                <w:sz w:val="20"/>
                <w:szCs w:val="20"/>
              </w:rPr>
              <w:t xml:space="preserve">Closing</w:t>
            </w:r>
          </w:p>
        </w:tc>
      </w:tr>
    </w:tbl>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Welcome &amp; Framing</w:t>
            </w:r>
          </w:p>
        </w:tc>
      </w:tr>
    </w:tbl>
    <w:p>
      <w:pPr>
        <w:spacing w:after="130" w:line="300"/>
      </w:pPr>
      <w:r>
        <w:rPr>
          <w:rFonts w:ascii="Cambria" w:cs="Cambria" w:eastAsia="Cambria" w:hAnsi="Cambria"/>
          <w:b w:val="false"/>
          <w:bCs w:val="false"/>
          <w:i w:val="false"/>
          <w:iCs w:val="false"/>
          <w:color w:val="2A2A2A"/>
          <w:sz w:val="22"/>
          <w:szCs w:val="22"/>
        </w:rPr>
        <w:t xml:space="preserve">Today's session is designed to help you recognize trauma, build trust, and foster resilience in your work with families. The way you show up — your tone, your approach, your consistency — can be one of the most powerful interventions a family receives.</w:t>
      </w:r>
    </w:p>
    <w:p>
      <w:pPr>
        <w:spacing w:after="60" w:before="140"/>
      </w:pPr>
      <w:r>
        <w:rPr>
          <w:rFonts w:ascii="Cambria" w:cs="Cambria" w:eastAsia="Cambria" w:hAnsi="Cambria"/>
          <w:b/>
          <w:bCs/>
          <w:color w:val="888888"/>
          <w:sz w:val="18"/>
          <w:szCs w:val="18"/>
        </w:rPr>
        <w:t xml:space="preserve">Notes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2</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Session Roadmap</w:t>
            </w:r>
          </w:p>
        </w:tc>
      </w:tr>
    </w:tbl>
    <w:p>
      <w:pPr>
        <w:spacing w:after="130" w:line="300"/>
      </w:pPr>
      <w:r>
        <w:rPr>
          <w:rFonts w:ascii="Cambria" w:cs="Cambria" w:eastAsia="Cambria" w:hAnsi="Cambria"/>
          <w:b w:val="false"/>
          <w:bCs w:val="false"/>
          <w:i w:val="false"/>
          <w:iCs w:val="false"/>
          <w:color w:val="2A2A2A"/>
          <w:sz w:val="22"/>
          <w:szCs w:val="22"/>
        </w:rPr>
        <w:t xml:space="preserve">Six interconnected areas guide today's session, building from foundational understanding into practical application:</w:t>
      </w:r>
    </w:p>
    <w:p>
      <w:pPr>
        <w:pStyle w:val="ListParagraph"/>
        <w:numPr>
          <w:ilvl w:val="0"/>
          <w:numId w:val="1"/>
        </w:numPr>
        <w:spacing w:after="80" w:line="280"/>
      </w:pPr>
      <w:r>
        <w:rPr>
          <w:rFonts w:ascii="Cambria" w:cs="Cambria" w:eastAsia="Cambria" w:hAnsi="Cambria"/>
          <w:color w:val="2A2A2A"/>
          <w:sz w:val="21"/>
          <w:szCs w:val="21"/>
        </w:rPr>
        <w:t xml:space="preserve">Understanding trauma and why it matters in FSS and Resident Services work</w:t>
      </w:r>
    </w:p>
    <w:p>
      <w:pPr>
        <w:pStyle w:val="ListParagraph"/>
        <w:numPr>
          <w:ilvl w:val="0"/>
          <w:numId w:val="1"/>
        </w:numPr>
        <w:spacing w:after="80" w:line="280"/>
      </w:pPr>
      <w:r>
        <w:rPr>
          <w:rFonts w:ascii="Cambria" w:cs="Cambria" w:eastAsia="Cambria" w:hAnsi="Cambria"/>
          <w:color w:val="2A2A2A"/>
          <w:sz w:val="21"/>
          <w:szCs w:val="21"/>
        </w:rPr>
        <w:t xml:space="preserve">Core principles of trauma-informed practice</w:t>
      </w:r>
    </w:p>
    <w:p>
      <w:pPr>
        <w:pStyle w:val="ListParagraph"/>
        <w:numPr>
          <w:ilvl w:val="0"/>
          <w:numId w:val="1"/>
        </w:numPr>
        <w:spacing w:after="80" w:line="280"/>
      </w:pPr>
      <w:r>
        <w:rPr>
          <w:rFonts w:ascii="Cambria" w:cs="Cambria" w:eastAsia="Cambria" w:hAnsi="Cambria"/>
          <w:color w:val="2A2A2A"/>
          <w:sz w:val="21"/>
          <w:szCs w:val="21"/>
        </w:rPr>
        <w:t xml:space="preserve">Practical strategies for building trust and communication</w:t>
      </w:r>
    </w:p>
    <w:p>
      <w:pPr>
        <w:pStyle w:val="ListParagraph"/>
        <w:numPr>
          <w:ilvl w:val="0"/>
          <w:numId w:val="1"/>
        </w:numPr>
        <w:spacing w:after="80" w:line="280"/>
      </w:pPr>
      <w:r>
        <w:rPr>
          <w:rFonts w:ascii="Cambria" w:cs="Cambria" w:eastAsia="Cambria" w:hAnsi="Cambria"/>
          <w:color w:val="2A2A2A"/>
          <w:sz w:val="21"/>
          <w:szCs w:val="21"/>
        </w:rPr>
        <w:t xml:space="preserve">Practitioner self-awareness</w:t>
      </w:r>
    </w:p>
    <w:p>
      <w:pPr>
        <w:pStyle w:val="ListParagraph"/>
        <w:numPr>
          <w:ilvl w:val="0"/>
          <w:numId w:val="1"/>
        </w:numPr>
        <w:spacing w:after="80" w:line="280"/>
      </w:pPr>
      <w:r>
        <w:rPr>
          <w:rFonts w:ascii="Cambria" w:cs="Cambria" w:eastAsia="Cambria" w:hAnsi="Cambria"/>
          <w:color w:val="2A2A2A"/>
          <w:sz w:val="21"/>
          <w:szCs w:val="21"/>
        </w:rPr>
        <w:t xml:space="preserve">Real case scenarios from housing contexts</w:t>
      </w:r>
    </w:p>
    <w:p>
      <w:pPr>
        <w:pStyle w:val="ListParagraph"/>
        <w:numPr>
          <w:ilvl w:val="0"/>
          <w:numId w:val="1"/>
        </w:numPr>
        <w:spacing w:after="80" w:line="280"/>
      </w:pPr>
      <w:r>
        <w:rPr>
          <w:rFonts w:ascii="Cambria" w:cs="Cambria" w:eastAsia="Cambria" w:hAnsi="Cambria"/>
          <w:color w:val="2A2A2A"/>
          <w:sz w:val="21"/>
          <w:szCs w:val="21"/>
        </w:rPr>
        <w:t xml:space="preserve">Healing-centered engagement — moving beyond avoiding harm toward cultivating strength</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Trauma-informed practice starts with the practitioner, not just the client.</w:t>
            </w:r>
          </w:p>
        </w:tc>
      </w:tr>
    </w:tbl>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6B4E8E"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3</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One-Word Check-In</w:t>
            </w:r>
          </w:p>
          <w:p>
            <w:r>
              <w:rPr>
                <w:rFonts w:ascii="Cambria" w:cs="Cambria" w:eastAsia="Cambria" w:hAnsi="Cambria"/>
                <w:i/>
                <w:iCs/>
                <w:color w:val="555555"/>
                <w:sz w:val="18"/>
                <w:szCs w:val="18"/>
              </w:rPr>
              <w:t xml:space="preserve">Activity</w:t>
            </w:r>
          </w:p>
        </w:tc>
      </w:tr>
    </w:tbl>
    <w:p>
      <w:pPr>
        <w:spacing w:after="130" w:line="300"/>
      </w:pPr>
      <w:r>
        <w:rPr>
          <w:rFonts w:ascii="Cambria" w:cs="Cambria" w:eastAsia="Cambria" w:hAnsi="Cambria"/>
          <w:b w:val="false"/>
          <w:bCs w:val="false"/>
          <w:i w:val="false"/>
          <w:iCs w:val="false"/>
          <w:color w:val="2A2A2A"/>
          <w:sz w:val="22"/>
          <w:szCs w:val="22"/>
        </w:rPr>
        <w:t xml:space="preserve">Take a breath. Notice where you are. Share one word that captures how you're showing up to this space today.</w:t>
      </w:r>
    </w:p>
    <w:p>
      <w:pPr>
        <w:spacing w:after="60" w:before="160"/>
      </w:pPr>
      <w:r>
        <w:rPr>
          <w:rFonts w:ascii="Cambria" w:cs="Cambria" w:eastAsia="Cambria" w:hAnsi="Cambria"/>
          <w:b/>
          <w:bCs/>
          <w:color w:val="1B6B73"/>
          <w:sz w:val="21"/>
          <w:szCs w:val="21"/>
        </w:rPr>
        <w:t xml:space="preserve">My word:</w:t>
      </w:r>
    </w:p>
    <w:p>
      <w:pPr>
        <w:pBdr>
          <w:bottom w:val="single" w:color="BFBFBF" w:sz="4" w:space="4"/>
        </w:pBdr>
        <w:spacing w:after="240"/>
      </w:pPr>
      <w:r>
        <w:rPr>
          <w:rFonts w:ascii="Cambria" w:cs="Cambria" w:eastAsia="Cambria" w:hAnsi="Cambria"/>
          <w:sz w:val="22"/>
          <w:szCs w:val="22"/>
        </w:rPr>
        <w:t xml:space="preserve"> </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A low-stakes invitation to share, with voluntary participation and no judgment on the response, is trauma-informed practice in action.</w:t>
            </w:r>
          </w:p>
        </w:tc>
      </w:tr>
    </w:tbl>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4</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Understanding the Role of Trauma</w:t>
            </w:r>
          </w:p>
        </w:tc>
      </w:tr>
    </w:tbl>
    <w:p>
      <w:pPr>
        <w:spacing w:after="130" w:line="300"/>
      </w:pPr>
      <w:r>
        <w:rPr>
          <w:rFonts w:ascii="Cambria" w:cs="Cambria" w:eastAsia="Cambria" w:hAnsi="Cambria"/>
          <w:b w:val="false"/>
          <w:bCs w:val="false"/>
          <w:i w:val="false"/>
          <w:iCs w:val="false"/>
          <w:color w:val="2A2A2A"/>
          <w:sz w:val="22"/>
          <w:szCs w:val="22"/>
        </w:rPr>
        <w:t xml:space="preserve">Trauma is an event, series of events, or set of circumstances experienced as physically or emotionally harmful or life-threatening, with lasting adverse effects. It does not have to be a single dramatic episode — chronic poverty, repeated eviction, and family instability are traumatic too.</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Trauma is not a character flaw. It is a normal nervous system response to circumstances that were genuinely overwhelming.</w:t>
            </w:r>
          </w:p>
        </w:tc>
      </w:tr>
    </w:tbl>
    <w:p>
      <w:pPr>
        <w:spacing w:after="60" w:before="140"/>
      </w:pPr>
      <w:r>
        <w:rPr>
          <w:rFonts w:ascii="Cambria" w:cs="Cambria" w:eastAsia="Cambria" w:hAnsi="Cambria"/>
          <w:b/>
          <w:bCs/>
          <w:color w:val="888888"/>
          <w:sz w:val="18"/>
          <w:szCs w:val="18"/>
        </w:rPr>
        <w:t xml:space="preserve">Notes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5</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Types of Trauma &amp; the ACE Study</w:t>
            </w:r>
          </w:p>
        </w:tc>
      </w:tr>
    </w:tbl>
    <w:p>
      <w:pPr>
        <w:spacing w:after="130" w:line="300"/>
      </w:pPr>
      <w:r>
        <w:rPr>
          <w:rFonts w:ascii="Cambria" w:cs="Cambria" w:eastAsia="Cambria" w:hAnsi="Cambria"/>
          <w:b w:val="false"/>
          <w:bCs w:val="false"/>
          <w:i w:val="false"/>
          <w:iCs w:val="false"/>
          <w:color w:val="2A2A2A"/>
          <w:sz w:val="22"/>
          <w:szCs w:val="22"/>
        </w:rPr>
        <w:t xml:space="preserve">The Adverse Childhood Experiences (ACE) study found that nearly two-thirds of adults surveyed had experienced at least one ACE, and one in five had three or more. Higher ACE scores correlate with greater risk for mental health challenges, substance use, chronic illness, and early death.</w:t>
      </w:r>
    </w:p>
    <w:p>
      <w:pPr>
        <w:spacing w:after="130" w:line="300"/>
      </w:pPr>
      <w:r>
        <w:rPr>
          <w:rFonts w:ascii="Cambria" w:cs="Cambria" w:eastAsia="Cambria" w:hAnsi="Cambria"/>
          <w:b w:val="false"/>
          <w:bCs w:val="false"/>
          <w:i w:val="false"/>
          <w:iCs w:val="false"/>
          <w:color w:val="2A2A2A"/>
          <w:sz w:val="22"/>
          <w:szCs w:val="22"/>
        </w:rPr>
        <w:t xml:space="preserve">Housing instability, domestic violence, parental incarceration, poverty, and community violence are common sources of trauma among the families you serve.</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Resilience is real, it is buildable, and your consistent, caring presence is a powerful protective factor. You are not just a coordinator — you are a protective factor.</w:t>
            </w:r>
          </w:p>
        </w:tc>
      </w:tr>
    </w:tbl>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6</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Behavior Is Communication — Not Defiance</w:t>
            </w:r>
          </w:p>
        </w:tc>
      </w:tr>
    </w:tbl>
    <w:p>
      <w:pPr>
        <w:spacing w:after="130" w:line="300"/>
      </w:pPr>
      <w:r>
        <w:rPr>
          <w:rFonts w:ascii="Cambria" w:cs="Cambria" w:eastAsia="Cambria" w:hAnsi="Cambria"/>
          <w:b w:val="false"/>
          <w:bCs w:val="false"/>
          <w:i w:val="false"/>
          <w:iCs w:val="false"/>
          <w:color w:val="2A2A2A"/>
          <w:sz w:val="22"/>
          <w:szCs w:val="22"/>
        </w:rPr>
        <w:t xml:space="preserve">Shift the question from “What is wrong with this person?” to “What happened to this person?” Trauma affects the brain, body, biology, beliefs, and behavior. When the brain's alarm system fires, rational decision-making can go offline — this is neurobiology, not a choice.</w:t>
      </w:r>
    </w:p>
    <w:p>
      <w:pPr>
        <w:pStyle w:val="ListParagraph"/>
        <w:numPr>
          <w:ilvl w:val="0"/>
          <w:numId w:val="1"/>
        </w:numPr>
        <w:spacing w:after="80" w:line="280"/>
      </w:pPr>
      <w:r>
        <w:rPr>
          <w:rFonts w:ascii="Cambria" w:cs="Cambria" w:eastAsia="Cambria" w:hAnsi="Cambria"/>
          <w:color w:val="2A2A2A"/>
          <w:sz w:val="21"/>
          <w:szCs w:val="21"/>
        </w:rPr>
        <w:t xml:space="preserve">A client who misses appointments may not be unmotivated — showing up may feel unsafe</w:t>
      </w:r>
    </w:p>
    <w:p>
      <w:pPr>
        <w:pStyle w:val="ListParagraph"/>
        <w:numPr>
          <w:ilvl w:val="0"/>
          <w:numId w:val="1"/>
        </w:numPr>
        <w:spacing w:after="80" w:line="280"/>
      </w:pPr>
      <w:r>
        <w:rPr>
          <w:rFonts w:ascii="Cambria" w:cs="Cambria" w:eastAsia="Cambria" w:hAnsi="Cambria"/>
          <w:color w:val="2A2A2A"/>
          <w:sz w:val="21"/>
          <w:szCs w:val="21"/>
        </w:rPr>
        <w:t xml:space="preserve">A client with a defensive edge may have learned defensiveness as a survival skill</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When we see behavior as information rather than obstruction, we become far more effective helpers.</w:t>
            </w:r>
          </w:p>
        </w:tc>
      </w:tr>
    </w:tbl>
    <w:p>
      <w:pPr>
        <w:spacing w:after="60" w:before="140"/>
      </w:pPr>
      <w:r>
        <w:rPr>
          <w:rFonts w:ascii="Cambria" w:cs="Cambria" w:eastAsia="Cambria" w:hAnsi="Cambria"/>
          <w:b/>
          <w:bCs/>
          <w:color w:val="888888"/>
          <w:sz w:val="18"/>
          <w:szCs w:val="18"/>
        </w:rPr>
        <w:t xml:space="preserve">Notes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7</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Core Principles of Trauma-Informed Practice</w:t>
            </w:r>
          </w:p>
          <w:p>
            <w:r>
              <w:rPr>
                <w:rFonts w:ascii="Cambria" w:cs="Cambria" w:eastAsia="Cambria" w:hAnsi="Cambria"/>
                <w:i/>
                <w:iCs/>
                <w:color w:val="555555"/>
                <w:sz w:val="18"/>
                <w:szCs w:val="18"/>
              </w:rPr>
              <w:t xml:space="preserve">SAMHSA's six principles</w:t>
            </w:r>
          </w:p>
        </w:tc>
      </w:tr>
    </w:tbl>
    <w:p>
      <w:pPr>
        <w:pStyle w:val="ListParagraph"/>
        <w:numPr>
          <w:ilvl w:val="0"/>
          <w:numId w:val="1"/>
        </w:numPr>
        <w:spacing w:after="80" w:line="280"/>
      </w:pPr>
      <w:r>
        <w:rPr>
          <w:rFonts w:ascii="Cambria" w:cs="Cambria" w:eastAsia="Cambria" w:hAnsi="Cambria"/>
          <w:color w:val="2A2A2A"/>
          <w:sz w:val="21"/>
          <w:szCs w:val="21"/>
        </w:rPr>
        <w:t xml:space="preserve">Safety — physical and emotional; tone, explanation, and predictability all matter</w:t>
      </w:r>
    </w:p>
    <w:p>
      <w:pPr>
        <w:pStyle w:val="ListParagraph"/>
        <w:numPr>
          <w:ilvl w:val="0"/>
          <w:numId w:val="1"/>
        </w:numPr>
        <w:spacing w:after="80" w:line="280"/>
      </w:pPr>
      <w:r>
        <w:rPr>
          <w:rFonts w:ascii="Cambria" w:cs="Cambria" w:eastAsia="Cambria" w:hAnsi="Cambria"/>
          <w:color w:val="2A2A2A"/>
          <w:sz w:val="21"/>
          <w:szCs w:val="21"/>
        </w:rPr>
        <w:t xml:space="preserve">Trustworthiness — built through small, consistent follow-through</w:t>
      </w:r>
    </w:p>
    <w:p>
      <w:pPr>
        <w:pStyle w:val="ListParagraph"/>
        <w:numPr>
          <w:ilvl w:val="0"/>
          <w:numId w:val="1"/>
        </w:numPr>
        <w:spacing w:after="80" w:line="280"/>
      </w:pPr>
      <w:r>
        <w:rPr>
          <w:rFonts w:ascii="Cambria" w:cs="Cambria" w:eastAsia="Cambria" w:hAnsi="Cambria"/>
          <w:color w:val="2A2A2A"/>
          <w:sz w:val="21"/>
          <w:szCs w:val="21"/>
        </w:rPr>
        <w:t xml:space="preserve">Empowerment — ask “what do you want?” before “here is what you need to do”</w:t>
      </w:r>
    </w:p>
    <w:p>
      <w:pPr>
        <w:pStyle w:val="ListParagraph"/>
        <w:numPr>
          <w:ilvl w:val="0"/>
          <w:numId w:val="1"/>
        </w:numPr>
        <w:spacing w:after="80" w:line="280"/>
      </w:pPr>
      <w:r>
        <w:rPr>
          <w:rFonts w:ascii="Cambria" w:cs="Cambria" w:eastAsia="Cambria" w:hAnsi="Cambria"/>
          <w:color w:val="2A2A2A"/>
          <w:sz w:val="21"/>
          <w:szCs w:val="21"/>
        </w:rPr>
        <w:t xml:space="preserve">Cultural Humility — hold assumptions loosely; learn from each family</w:t>
      </w:r>
    </w:p>
    <w:p>
      <w:pPr>
        <w:pStyle w:val="ListParagraph"/>
        <w:numPr>
          <w:ilvl w:val="0"/>
          <w:numId w:val="1"/>
        </w:numPr>
        <w:spacing w:after="80" w:line="280"/>
      </w:pPr>
      <w:r>
        <w:rPr>
          <w:rFonts w:ascii="Cambria" w:cs="Cambria" w:eastAsia="Cambria" w:hAnsi="Cambria"/>
          <w:color w:val="2A2A2A"/>
          <w:sz w:val="21"/>
          <w:szCs w:val="21"/>
        </w:rPr>
        <w:t xml:space="preserve">Peer Support — connect families to each other when possible</w:t>
      </w:r>
    </w:p>
    <w:p>
      <w:pPr>
        <w:pStyle w:val="ListParagraph"/>
        <w:numPr>
          <w:ilvl w:val="0"/>
          <w:numId w:val="1"/>
        </w:numPr>
        <w:spacing w:after="80" w:line="280"/>
      </w:pPr>
      <w:r>
        <w:rPr>
          <w:rFonts w:ascii="Cambria" w:cs="Cambria" w:eastAsia="Cambria" w:hAnsi="Cambria"/>
          <w:color w:val="2A2A2A"/>
          <w:sz w:val="21"/>
          <w:szCs w:val="21"/>
        </w:rPr>
        <w:t xml:space="preserve">Collaboration — partnership over expertise</w:t>
      </w:r>
    </w:p>
    <w:p>
      <w:pPr>
        <w:spacing w:after="60" w:before="140"/>
      </w:pPr>
      <w:r>
        <w:rPr>
          <w:rFonts w:ascii="Cambria" w:cs="Cambria" w:eastAsia="Cambria" w:hAnsi="Cambria"/>
          <w:b/>
          <w:bCs/>
          <w:color w:val="888888"/>
          <w:sz w:val="18"/>
          <w:szCs w:val="18"/>
        </w:rPr>
        <w:t xml:space="preserve">Notes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8</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Building Trust &amp; Improving Communication</w:t>
            </w:r>
          </w:p>
        </w:tc>
      </w:tr>
    </w:tbl>
    <w:p>
      <w:pPr>
        <w:spacing w:after="130" w:line="300"/>
      </w:pPr>
      <w:r>
        <w:rPr>
          <w:rFonts w:ascii="Cambria" w:cs="Cambria" w:eastAsia="Cambria" w:hAnsi="Cambria"/>
          <w:b w:val="false"/>
          <w:bCs w:val="false"/>
          <w:i w:val="false"/>
          <w:iCs w:val="false"/>
          <w:color w:val="2A2A2A"/>
          <w:sz w:val="22"/>
          <w:szCs w:val="22"/>
        </w:rPr>
        <w:t xml:space="preserve">Trust is built in the accumulation of small, consistent moments — doing what you said you would do, listening without rushing to fix, explaining what's happening rather than assuming it's known.</w:t>
      </w:r>
    </w:p>
    <w:p>
      <w:pPr>
        <w:spacing w:after="60" w:before="160"/>
      </w:pPr>
      <w:r>
        <w:rPr>
          <w:rFonts w:ascii="Cambria" w:cs="Cambria" w:eastAsia="Cambria" w:hAnsi="Cambria"/>
          <w:b/>
          <w:bCs/>
          <w:color w:val="1B6B73"/>
          <w:sz w:val="21"/>
          <w:szCs w:val="21"/>
        </w:rPr>
        <w:t xml:space="preserve">Sample trust-building phrases to try:</w:t>
      </w:r>
    </w:p>
    <w:p>
      <w:pPr>
        <w:pStyle w:val="ListParagraph"/>
        <w:numPr>
          <w:ilvl w:val="0"/>
          <w:numId w:val="1"/>
        </w:numPr>
        <w:spacing w:after="80" w:line="280"/>
      </w:pPr>
      <w:r>
        <w:rPr>
          <w:rFonts w:ascii="Cambria" w:cs="Cambria" w:eastAsia="Cambria" w:hAnsi="Cambria"/>
          <w:color w:val="2A2A2A"/>
          <w:sz w:val="21"/>
          <w:szCs w:val="21"/>
        </w:rPr>
        <w:t xml:space="preserve">“You get to decide.”</w:t>
      </w:r>
    </w:p>
    <w:p>
      <w:pPr>
        <w:pStyle w:val="ListParagraph"/>
        <w:numPr>
          <w:ilvl w:val="0"/>
          <w:numId w:val="1"/>
        </w:numPr>
        <w:spacing w:after="80" w:line="280"/>
      </w:pPr>
      <w:r>
        <w:rPr>
          <w:rFonts w:ascii="Cambria" w:cs="Cambria" w:eastAsia="Cambria" w:hAnsi="Cambria"/>
          <w:color w:val="2A2A2A"/>
          <w:sz w:val="21"/>
          <w:szCs w:val="21"/>
        </w:rPr>
        <w:t xml:space="preserve">“What would feel most helpful to you?”</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Slowing down, even slightly, makes your work more effective — people engage more fully when they feel safe.</w:t>
            </w:r>
          </w:p>
        </w:tc>
      </w:tr>
    </w:tbl>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9</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Self-Awareness: The Practitioner's Most Important Tool</w:t>
            </w:r>
          </w:p>
        </w:tc>
      </w:tr>
    </w:tbl>
    <w:p>
      <w:pPr>
        <w:pStyle w:val="ListParagraph"/>
        <w:numPr>
          <w:ilvl w:val="0"/>
          <w:numId w:val="1"/>
        </w:numPr>
        <w:spacing w:after="80" w:line="280"/>
      </w:pPr>
      <w:r>
        <w:rPr>
          <w:rFonts w:ascii="Cambria" w:cs="Cambria" w:eastAsia="Cambria" w:hAnsi="Cambria"/>
          <w:color w:val="2A2A2A"/>
          <w:sz w:val="21"/>
          <w:szCs w:val="21"/>
        </w:rPr>
        <w:t xml:space="preserve">Know your triggers</w:t>
      </w:r>
    </w:p>
    <w:p>
      <w:pPr>
        <w:pStyle w:val="ListParagraph"/>
        <w:numPr>
          <w:ilvl w:val="0"/>
          <w:numId w:val="1"/>
        </w:numPr>
        <w:spacing w:after="80" w:line="280"/>
      </w:pPr>
      <w:r>
        <w:rPr>
          <w:rFonts w:ascii="Cambria" w:cs="Cambria" w:eastAsia="Cambria" w:hAnsi="Cambria"/>
          <w:color w:val="2A2A2A"/>
          <w:sz w:val="21"/>
          <w:szCs w:val="21"/>
        </w:rPr>
        <w:t xml:space="preserve">Notice your own lens and assumptions</w:t>
      </w:r>
    </w:p>
    <w:p>
      <w:pPr>
        <w:pStyle w:val="ListParagraph"/>
        <w:numPr>
          <w:ilvl w:val="0"/>
          <w:numId w:val="1"/>
        </w:numPr>
        <w:spacing w:after="80" w:line="280"/>
      </w:pPr>
      <w:r>
        <w:rPr>
          <w:rFonts w:ascii="Cambria" w:cs="Cambria" w:eastAsia="Cambria" w:hAnsi="Cambria"/>
          <w:color w:val="2A2A2A"/>
          <w:sz w:val="21"/>
          <w:szCs w:val="21"/>
        </w:rPr>
        <w:t xml:space="preserve">Regulate before you respond</w:t>
      </w:r>
    </w:p>
    <w:p>
      <w:pPr>
        <w:pStyle w:val="ListParagraph"/>
        <w:numPr>
          <w:ilvl w:val="0"/>
          <w:numId w:val="1"/>
        </w:numPr>
        <w:spacing w:after="80" w:line="280"/>
      </w:pPr>
      <w:r>
        <w:rPr>
          <w:rFonts w:ascii="Cambria" w:cs="Cambria" w:eastAsia="Cambria" w:hAnsi="Cambria"/>
          <w:color w:val="2A2A2A"/>
          <w:sz w:val="21"/>
          <w:szCs w:val="21"/>
        </w:rPr>
        <w:t xml:space="preserve">Reflect regularly</w:t>
      </w:r>
    </w:p>
    <w:p>
      <w:pPr>
        <w:pStyle w:val="ListParagraph"/>
        <w:numPr>
          <w:ilvl w:val="0"/>
          <w:numId w:val="1"/>
        </w:numPr>
        <w:spacing w:after="80" w:line="280"/>
      </w:pPr>
      <w:r>
        <w:rPr>
          <w:rFonts w:ascii="Cambria" w:cs="Cambria" w:eastAsia="Cambria" w:hAnsi="Cambria"/>
          <w:color w:val="2A2A2A"/>
          <w:sz w:val="21"/>
          <w:szCs w:val="21"/>
        </w:rPr>
        <w:t xml:space="preserve">Name secondary traumatic stress when it shows up</w:t>
      </w:r>
    </w:p>
    <w:p>
      <w:pPr>
        <w:pStyle w:val="ListParagraph"/>
        <w:numPr>
          <w:ilvl w:val="0"/>
          <w:numId w:val="1"/>
        </w:numPr>
        <w:spacing w:after="80" w:line="280"/>
      </w:pPr>
      <w:r>
        <w:rPr>
          <w:rFonts w:ascii="Cambria" w:cs="Cambria" w:eastAsia="Cambria" w:hAnsi="Cambria"/>
          <w:color w:val="2A2A2A"/>
          <w:sz w:val="21"/>
          <w:szCs w:val="21"/>
        </w:rPr>
        <w:t xml:space="preserve">Invest in your own renewal</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Your wellbeing is not separate from your effectiveness — they are the same thing. The oxygen mask goes on you first.</w:t>
            </w:r>
          </w:p>
        </w:tc>
      </w:tr>
    </w:tbl>
    <w:p>
      <w:pPr>
        <w:spacing w:after="60" w:before="140"/>
      </w:pPr>
      <w:r>
        <w:rPr>
          <w:rFonts w:ascii="Cambria" w:cs="Cambria" w:eastAsia="Cambria" w:hAnsi="Cambria"/>
          <w:b/>
          <w:bCs/>
          <w:color w:val="888888"/>
          <w:sz w:val="18"/>
          <w:szCs w:val="18"/>
        </w:rPr>
        <w:t xml:space="preserve">Notes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6B4E8E"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10</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Highlight &amp; Hurdle</w:t>
            </w:r>
          </w:p>
          <w:p>
            <w:r>
              <w:rPr>
                <w:rFonts w:ascii="Cambria" w:cs="Cambria" w:eastAsia="Cambria" w:hAnsi="Cambria"/>
                <w:i/>
                <w:iCs/>
                <w:color w:val="555555"/>
                <w:sz w:val="18"/>
                <w:szCs w:val="18"/>
              </w:rPr>
              <w:t xml:space="preserve">Activity</w:t>
            </w:r>
          </w:p>
        </w:tc>
      </w:tr>
    </w:tbl>
    <w:p>
      <w:pPr>
        <w:spacing w:after="130" w:line="300"/>
      </w:pPr>
      <w:r>
        <w:rPr>
          <w:rFonts w:ascii="Cambria" w:cs="Cambria" w:eastAsia="Cambria" w:hAnsi="Cambria"/>
          <w:b w:val="false"/>
          <w:bCs w:val="false"/>
          <w:i w:val="false"/>
          <w:iCs w:val="false"/>
          <w:color w:val="2A2A2A"/>
          <w:sz w:val="22"/>
          <w:szCs w:val="22"/>
        </w:rPr>
        <w:t xml:space="preserve">Reflect for a few minutes, then share with a partner.</w:t>
      </w:r>
    </w:p>
    <w:p>
      <w:pPr>
        <w:spacing w:after="60" w:before="160"/>
      </w:pPr>
      <w:r>
        <w:rPr>
          <w:rFonts w:ascii="Cambria" w:cs="Cambria" w:eastAsia="Cambria" w:hAnsi="Cambria"/>
          <w:b/>
          <w:bCs/>
          <w:color w:val="1B6B73"/>
          <w:sz w:val="21"/>
          <w:szCs w:val="21"/>
        </w:rPr>
        <w:t xml:space="preserve">My Highlight (what's resonating so far):</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60" w:before="160"/>
      </w:pPr>
      <w:r>
        <w:rPr>
          <w:rFonts w:ascii="Cambria" w:cs="Cambria" w:eastAsia="Cambria" w:hAnsi="Cambria"/>
          <w:b/>
          <w:bCs/>
          <w:color w:val="1B6B73"/>
          <w:sz w:val="21"/>
          <w:szCs w:val="21"/>
        </w:rPr>
        <w:t xml:space="preserve">My Hurdle (what's still hard or unclear):</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5B3A8E"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11</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Case Scenarios — Let's Practice Together</w:t>
            </w:r>
          </w:p>
          <w:p>
            <w:r>
              <w:rPr>
                <w:rFonts w:ascii="Cambria" w:cs="Cambria" w:eastAsia="Cambria" w:hAnsi="Cambria"/>
                <w:i/>
                <w:iCs/>
                <w:color w:val="555555"/>
                <w:sz w:val="18"/>
                <w:szCs w:val="18"/>
              </w:rPr>
              <w:t xml:space="preserve">Applying today's concepts</w:t>
            </w:r>
          </w:p>
        </w:tc>
      </w:tr>
    </w:tbl>
    <w:p>
      <w:pPr>
        <w:spacing w:after="130" w:line="300"/>
      </w:pPr>
      <w:r>
        <w:rPr>
          <w:rFonts w:ascii="Cambria" w:cs="Cambria" w:eastAsia="Cambria" w:hAnsi="Cambria"/>
          <w:b w:val="false"/>
          <w:bCs w:val="false"/>
          <w:i w:val="false"/>
          <w:iCs w:val="false"/>
          <w:color w:val="2A2A2A"/>
          <w:sz w:val="22"/>
          <w:szCs w:val="22"/>
        </w:rPr>
        <w:t xml:space="preserve">As you read each scenario, hold three questions in mind:</w:t>
      </w:r>
    </w:p>
    <w:p>
      <w:pPr>
        <w:pStyle w:val="ListParagraph"/>
        <w:numPr>
          <w:ilvl w:val="0"/>
          <w:numId w:val="1"/>
        </w:numPr>
        <w:spacing w:after="80" w:line="280"/>
      </w:pPr>
      <w:r>
        <w:rPr>
          <w:rFonts w:ascii="Cambria" w:cs="Cambria" w:eastAsia="Cambria" w:hAnsi="Cambria"/>
          <w:color w:val="2A2A2A"/>
          <w:sz w:val="21"/>
          <w:szCs w:val="21"/>
        </w:rPr>
        <w:t xml:space="preserve">What trauma signals do I notice?</w:t>
      </w:r>
    </w:p>
    <w:p>
      <w:pPr>
        <w:pStyle w:val="ListParagraph"/>
        <w:numPr>
          <w:ilvl w:val="0"/>
          <w:numId w:val="1"/>
        </w:numPr>
        <w:spacing w:after="80" w:line="280"/>
      </w:pPr>
      <w:r>
        <w:rPr>
          <w:rFonts w:ascii="Cambria" w:cs="Cambria" w:eastAsia="Cambria" w:hAnsi="Cambria"/>
          <w:color w:val="2A2A2A"/>
          <w:sz w:val="21"/>
          <w:szCs w:val="21"/>
        </w:rPr>
        <w:t xml:space="preserve">What are this person's strengths and motivations?</w:t>
      </w:r>
    </w:p>
    <w:p>
      <w:pPr>
        <w:pStyle w:val="ListParagraph"/>
        <w:numPr>
          <w:ilvl w:val="0"/>
          <w:numId w:val="1"/>
        </w:numPr>
        <w:spacing w:after="80" w:line="280"/>
      </w:pPr>
      <w:r>
        <w:rPr>
          <w:rFonts w:ascii="Cambria" w:cs="Cambria" w:eastAsia="Cambria" w:hAnsi="Cambria"/>
          <w:color w:val="2A2A2A"/>
          <w:sz w:val="21"/>
          <w:szCs w:val="21"/>
        </w:rPr>
        <w:t xml:space="preserve">How would I approach this differently now?</w:t>
      </w:r>
    </w:p>
    <w:p>
      <w:pPr>
        <w:spacing w:after="130" w:line="300"/>
      </w:pPr>
      <w:r>
        <w:rPr>
          <w:rFonts w:ascii="Cambria" w:cs="Cambria" w:eastAsia="Cambria" w:hAnsi="Cambria"/>
          <w:b w:val="false"/>
          <w:bCs w:val="false"/>
          <w:i/>
          <w:iCs/>
          <w:color w:val="2A2A2A"/>
          <w:sz w:val="22"/>
          <w:szCs w:val="22"/>
        </w:rPr>
        <w:t xml:space="preserve">Work through each scenario below. There are no perfect answers — the goal is to practice the thinking.</w:t>
      </w:r>
    </w:p>
    <w:p>
      <w:pPr>
        <w:spacing w:before="2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12</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Scenario 1: Destiny — The Weight of Generations</w:t>
            </w:r>
          </w:p>
          <w:p>
            <w:r>
              <w:rPr>
                <w:rFonts w:ascii="Cambria" w:cs="Cambria" w:eastAsia="Cambria" w:hAnsi="Cambria"/>
                <w:i/>
                <w:iCs/>
                <w:color w:val="555555"/>
                <w:sz w:val="18"/>
                <w:szCs w:val="18"/>
              </w:rPr>
              <w:t xml:space="preserve">20-year-old, third generation in one unit, raising two toddlers</w:t>
            </w:r>
          </w:p>
        </w:tc>
      </w:tr>
    </w:tbl>
    <w:p>
      <w:pPr>
        <w:spacing w:after="180" w:before="180"/>
      </w:pPr>
      <w:r>
        <w:rPr>
          <w:rFonts w:ascii="Cambria" w:cs="Cambria" w:eastAsia="Cambria" w:hAnsi="Cambria"/>
          <w:i/>
          <w:iCs/>
          <w:color w:val="2A2A2A"/>
          <w:sz w:val="21"/>
          <w:szCs w:val="21"/>
        </w:rPr>
        <w:t xml:space="preserve">Destiny is 20 years old with two children (ages 1 and 3). She is the third generation to live in this single subsidized unit — her grandmother Ms. Eleanor (22 years in the unit), her mother Tamara, and now Destiny. She earned her GED while raising two toddlers, works part-time, and talks about community college, but says ‘nobody in my family has really done that.’ She is polite, always shows up, and deflects hard questions with humor. She has never had her own lease, never made a major decision without Big Mama’s input, and has never lived anywhere else.</w:t>
      </w:r>
    </w:p>
    <w:p>
      <w:pPr>
        <w:spacing w:after="70" w:before="180"/>
      </w:pPr>
      <w:r>
        <w:rPr>
          <w:rFonts w:ascii="Cambria" w:cs="Cambria" w:eastAsia="Cambria" w:hAnsi="Cambria"/>
          <w:b/>
          <w:bCs/>
          <w:color w:val="1B6B73"/>
          <w:sz w:val="21"/>
          <w:szCs w:val="21"/>
        </w:rPr>
        <w:t xml:space="preserve">Q1  </w:t>
      </w:r>
      <w:r>
        <w:rPr>
          <w:rFonts w:ascii="Cambria" w:cs="Cambria" w:eastAsia="Cambria" w:hAnsi="Cambria"/>
          <w:b/>
          <w:bCs/>
          <w:color w:val="2A2A2A"/>
          <w:sz w:val="21"/>
          <w:szCs w:val="21"/>
        </w:rPr>
        <w:t xml:space="preserve">What trauma signals do you notice?</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70" w:before="180"/>
      </w:pPr>
      <w:r>
        <w:rPr>
          <w:rFonts w:ascii="Cambria" w:cs="Cambria" w:eastAsia="Cambria" w:hAnsi="Cambria"/>
          <w:b/>
          <w:bCs/>
          <w:color w:val="1B6B73"/>
          <w:sz w:val="21"/>
          <w:szCs w:val="21"/>
        </w:rPr>
        <w:t xml:space="preserve">Q2  </w:t>
      </w:r>
      <w:r>
        <w:rPr>
          <w:rFonts w:ascii="Cambria" w:cs="Cambria" w:eastAsia="Cambria" w:hAnsi="Cambria"/>
          <w:b/>
          <w:bCs/>
          <w:color w:val="2A2A2A"/>
          <w:sz w:val="21"/>
          <w:szCs w:val="21"/>
        </w:rPr>
        <w:t xml:space="preserve">What are Destiny's strengths and motivations?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70" w:before="180"/>
      </w:pPr>
      <w:r>
        <w:rPr>
          <w:rFonts w:ascii="Cambria" w:cs="Cambria" w:eastAsia="Cambria" w:hAnsi="Cambria"/>
          <w:b/>
          <w:bCs/>
          <w:color w:val="1B6B73"/>
          <w:sz w:val="21"/>
          <w:szCs w:val="21"/>
        </w:rPr>
        <w:t xml:space="preserve">Q3  </w:t>
      </w:r>
      <w:r>
        <w:rPr>
          <w:rFonts w:ascii="Cambria" w:cs="Cambria" w:eastAsia="Cambria" w:hAnsi="Cambria"/>
          <w:b/>
          <w:bCs/>
          <w:color w:val="2A2A2A"/>
          <w:sz w:val="21"/>
          <w:szCs w:val="21"/>
        </w:rPr>
        <w:t xml:space="preserve">How would you approach working with Destiny?</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60" w:before="160"/>
      </w:pPr>
      <w:r>
        <w:rPr>
          <w:rFonts w:ascii="Cambria" w:cs="Cambria" w:eastAsia="Cambria" w:hAnsi="Cambria"/>
          <w:b/>
          <w:bCs/>
          <w:color w:val="6B4E8E"/>
          <w:sz w:val="21"/>
          <w:szCs w:val="21"/>
        </w:rPr>
        <w:t xml:space="preserve">Discussion Prompt</w:t>
      </w:r>
    </w:p>
    <w:p>
      <w:pPr>
        <w:spacing w:after="130" w:line="300"/>
      </w:pPr>
      <w:r>
        <w:rPr>
          <w:rFonts w:ascii="Cambria" w:cs="Cambria" w:eastAsia="Cambria" w:hAnsi="Cambria"/>
          <w:b/>
          <w:bCs/>
          <w:i w:val="false"/>
          <w:iCs w:val="false"/>
          <w:color w:val="2A2A2A"/>
          <w:sz w:val="22"/>
          <w:szCs w:val="22"/>
        </w:rPr>
        <w:t xml:space="preserve">What would your first three conversations with Destiny look like?</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5B3A8E"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13</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Scenario 2: Marcus — The Big Dream</w:t>
            </w:r>
          </w:p>
          <w:p>
            <w:r>
              <w:rPr>
                <w:rFonts w:ascii="Cambria" w:cs="Cambria" w:eastAsia="Cambria" w:hAnsi="Cambria"/>
                <w:i/>
                <w:iCs/>
                <w:color w:val="555555"/>
                <w:sz w:val="18"/>
                <w:szCs w:val="18"/>
              </w:rPr>
              <w:t xml:space="preserve">34-year-old, homeownership + business plan, falling behind on rent</w:t>
            </w:r>
          </w:p>
        </w:tc>
      </w:tr>
    </w:tbl>
    <w:p>
      <w:pPr>
        <w:spacing w:after="180" w:before="180"/>
      </w:pPr>
      <w:r>
        <w:rPr>
          <w:rFonts w:ascii="Cambria" w:cs="Cambria" w:eastAsia="Cambria" w:hAnsi="Cambria"/>
          <w:i/>
          <w:iCs/>
          <w:color w:val="2A2A2A"/>
          <w:sz w:val="21"/>
          <w:szCs w:val="21"/>
        </w:rPr>
        <w:t xml:space="preserve">Marcus is 34 and walks into every appointment with a folder and a plan — he wants to own a home in two years and start a landscaping business in five. He has attended 4 of 11 scheduled appointments, owes two months of back rent, has a 512 credit score, and has had three jobs in 18 months (leaving two due to supervisor conflicts). He moved seven times before age 15. When you raise the rent balance, he pivots to the tax return, the cousin who owes him money, the next thing that will change everything. He becomes defensive when reality is named, then charming, then changes the subject. He believes wanting something hard enough is enough to make it happen.</w:t>
      </w:r>
    </w:p>
    <w:p>
      <w:pPr>
        <w:spacing w:after="70" w:before="180"/>
      </w:pPr>
      <w:r>
        <w:rPr>
          <w:rFonts w:ascii="Cambria" w:cs="Cambria" w:eastAsia="Cambria" w:hAnsi="Cambria"/>
          <w:b/>
          <w:bCs/>
          <w:color w:val="1B6B73"/>
          <w:sz w:val="21"/>
          <w:szCs w:val="21"/>
        </w:rPr>
        <w:t xml:space="preserve">Q1  </w:t>
      </w:r>
      <w:r>
        <w:rPr>
          <w:rFonts w:ascii="Cambria" w:cs="Cambria" w:eastAsia="Cambria" w:hAnsi="Cambria"/>
          <w:b/>
          <w:bCs/>
          <w:color w:val="2A2A2A"/>
          <w:sz w:val="21"/>
          <w:szCs w:val="21"/>
        </w:rPr>
        <w:t xml:space="preserve">What trauma signals do you notice?</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70" w:before="180"/>
      </w:pPr>
      <w:r>
        <w:rPr>
          <w:rFonts w:ascii="Cambria" w:cs="Cambria" w:eastAsia="Cambria" w:hAnsi="Cambria"/>
          <w:b/>
          <w:bCs/>
          <w:color w:val="1B6B73"/>
          <w:sz w:val="21"/>
          <w:szCs w:val="21"/>
        </w:rPr>
        <w:t xml:space="preserve">Q2  </w:t>
      </w:r>
      <w:r>
        <w:rPr>
          <w:rFonts w:ascii="Cambria" w:cs="Cambria" w:eastAsia="Cambria" w:hAnsi="Cambria"/>
          <w:b/>
          <w:bCs/>
          <w:color w:val="2A2A2A"/>
          <w:sz w:val="21"/>
          <w:szCs w:val="21"/>
        </w:rPr>
        <w:t xml:space="preserve">What are Marcus's strengths and motivations?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70" w:before="180"/>
      </w:pPr>
      <w:r>
        <w:rPr>
          <w:rFonts w:ascii="Cambria" w:cs="Cambria" w:eastAsia="Cambria" w:hAnsi="Cambria"/>
          <w:b/>
          <w:bCs/>
          <w:color w:val="1B6B73"/>
          <w:sz w:val="21"/>
          <w:szCs w:val="21"/>
        </w:rPr>
        <w:t xml:space="preserve">Q3  </w:t>
      </w:r>
      <w:r>
        <w:rPr>
          <w:rFonts w:ascii="Cambria" w:cs="Cambria" w:eastAsia="Cambria" w:hAnsi="Cambria"/>
          <w:b/>
          <w:bCs/>
          <w:color w:val="2A2A2A"/>
          <w:sz w:val="21"/>
          <w:szCs w:val="21"/>
        </w:rPr>
        <w:t xml:space="preserve">How would you approach working with Marcus?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60" w:before="160"/>
      </w:pPr>
      <w:r>
        <w:rPr>
          <w:rFonts w:ascii="Cambria" w:cs="Cambria" w:eastAsia="Cambria" w:hAnsi="Cambria"/>
          <w:b/>
          <w:bCs/>
          <w:color w:val="6B4E8E"/>
          <w:sz w:val="21"/>
          <w:szCs w:val="21"/>
        </w:rPr>
        <w:t xml:space="preserve">Discussion Prompt</w:t>
      </w:r>
    </w:p>
    <w:p>
      <w:pPr>
        <w:spacing w:after="130" w:line="300"/>
      </w:pPr>
      <w:r>
        <w:rPr>
          <w:rFonts w:ascii="Cambria" w:cs="Cambria" w:eastAsia="Cambria" w:hAnsi="Cambria"/>
          <w:b/>
          <w:bCs/>
          <w:i w:val="false"/>
          <w:iCs w:val="false"/>
          <w:color w:val="2A2A2A"/>
          <w:sz w:val="22"/>
          <w:szCs w:val="22"/>
        </w:rPr>
        <w:t xml:space="preserve">How do you stay curious about the house without abandoning accountability for the rent?</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5FA8AE"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14</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Scenario 3: Keisha — The Checklist That Never Ends</w:t>
            </w:r>
          </w:p>
          <w:p>
            <w:r>
              <w:rPr>
                <w:rFonts w:ascii="Cambria" w:cs="Cambria" w:eastAsia="Cambria" w:hAnsi="Cambria"/>
                <w:i/>
                <w:iCs/>
                <w:color w:val="555555"/>
                <w:sz w:val="18"/>
                <w:szCs w:val="18"/>
              </w:rPr>
              <w:t xml:space="preserve">29-year-old, completes every task, repeated financial emergencies</w:t>
            </w:r>
          </w:p>
        </w:tc>
      </w:tr>
    </w:tbl>
    <w:p>
      <w:pPr>
        <w:spacing w:after="180" w:before="180"/>
      </w:pPr>
      <w:r>
        <w:rPr>
          <w:rFonts w:ascii="Cambria" w:cs="Cambria" w:eastAsia="Cambria" w:hAnsi="Cambria"/>
          <w:i/>
          <w:iCs/>
          <w:color w:val="2A2A2A"/>
          <w:sz w:val="21"/>
          <w:szCs w:val="21"/>
        </w:rPr>
        <w:t xml:space="preserve">Keisha is 29, has one child (Amara, age 7), and works full time. She responds to emails within the hour and has completed every task assigned to her — financial literacy, a savings account, job readiness, an updated resume. And yet she sits across from you every month with a flat expression saying ‘I feel like I’m not getting anywhere.’ Over the past 12 months she has absorbed a $700 car repair, two ER visits with a lingering bill, six weeks of cut hours at work, three weeks on an air mattress due to a plumbing issue, and a doubled utility bill. She rebuilds. Something knocks her back. She rebuilds again. She does not see the pattern of what she has survived — she sees herself as the problem.</w:t>
      </w:r>
    </w:p>
    <w:p>
      <w:pPr>
        <w:spacing w:after="70" w:before="180"/>
      </w:pPr>
      <w:r>
        <w:rPr>
          <w:rFonts w:ascii="Cambria" w:cs="Cambria" w:eastAsia="Cambria" w:hAnsi="Cambria"/>
          <w:b/>
          <w:bCs/>
          <w:color w:val="1B6B73"/>
          <w:sz w:val="21"/>
          <w:szCs w:val="21"/>
        </w:rPr>
        <w:t xml:space="preserve">Q1  </w:t>
      </w:r>
      <w:r>
        <w:rPr>
          <w:rFonts w:ascii="Cambria" w:cs="Cambria" w:eastAsia="Cambria" w:hAnsi="Cambria"/>
          <w:b/>
          <w:bCs/>
          <w:color w:val="2A2A2A"/>
          <w:sz w:val="21"/>
          <w:szCs w:val="21"/>
        </w:rPr>
        <w:t xml:space="preserve">What trauma signals do you notice?</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70" w:before="180"/>
      </w:pPr>
      <w:r>
        <w:rPr>
          <w:rFonts w:ascii="Cambria" w:cs="Cambria" w:eastAsia="Cambria" w:hAnsi="Cambria"/>
          <w:b/>
          <w:bCs/>
          <w:color w:val="1B6B73"/>
          <w:sz w:val="21"/>
          <w:szCs w:val="21"/>
        </w:rPr>
        <w:t xml:space="preserve">Q2  </w:t>
      </w:r>
      <w:r>
        <w:rPr>
          <w:rFonts w:ascii="Cambria" w:cs="Cambria" w:eastAsia="Cambria" w:hAnsi="Cambria"/>
          <w:b/>
          <w:bCs/>
          <w:color w:val="2A2A2A"/>
          <w:sz w:val="21"/>
          <w:szCs w:val="21"/>
        </w:rPr>
        <w:t xml:space="preserve">What are Keisha's strengths and motivations?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70" w:before="180"/>
      </w:pPr>
      <w:r>
        <w:rPr>
          <w:rFonts w:ascii="Cambria" w:cs="Cambria" w:eastAsia="Cambria" w:hAnsi="Cambria"/>
          <w:b/>
          <w:bCs/>
          <w:color w:val="1B6B73"/>
          <w:sz w:val="21"/>
          <w:szCs w:val="21"/>
        </w:rPr>
        <w:t xml:space="preserve">Q3  </w:t>
      </w:r>
      <w:r>
        <w:rPr>
          <w:rFonts w:ascii="Cambria" w:cs="Cambria" w:eastAsia="Cambria" w:hAnsi="Cambria"/>
          <w:b/>
          <w:bCs/>
          <w:color w:val="2A2A2A"/>
          <w:sz w:val="21"/>
          <w:szCs w:val="21"/>
        </w:rPr>
        <w:t xml:space="preserve">How would you approach working with Keisha?</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spacing w:after="60" w:before="160"/>
      </w:pPr>
      <w:r>
        <w:rPr>
          <w:rFonts w:ascii="Cambria" w:cs="Cambria" w:eastAsia="Cambria" w:hAnsi="Cambria"/>
          <w:b/>
          <w:bCs/>
          <w:color w:val="6B4E8E"/>
          <w:sz w:val="21"/>
          <w:szCs w:val="21"/>
        </w:rPr>
        <w:t xml:space="preserve">Discussion Prompt</w:t>
      </w:r>
    </w:p>
    <w:p>
      <w:pPr>
        <w:spacing w:after="130" w:line="300"/>
      </w:pPr>
      <w:r>
        <w:rPr>
          <w:rFonts w:ascii="Cambria" w:cs="Cambria" w:eastAsia="Cambria" w:hAnsi="Cambria"/>
          <w:b/>
          <w:bCs/>
          <w:i w:val="false"/>
          <w:iCs w:val="false"/>
          <w:color w:val="2A2A2A"/>
          <w:sz w:val="22"/>
          <w:szCs w:val="22"/>
        </w:rPr>
        <w:t xml:space="preserve">How do you help Keisha see progress when she cannot feel it?</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r>
        <w:br w:type="pag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15</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What Is Healing-Centered Engagement?</w:t>
            </w:r>
          </w:p>
        </w:tc>
      </w:tr>
    </w:tbl>
    <w:p>
      <w:pPr>
        <w:spacing w:after="130" w:line="300"/>
      </w:pPr>
      <w:r>
        <w:rPr>
          <w:rFonts w:ascii="Cambria" w:cs="Cambria" w:eastAsia="Cambria" w:hAnsi="Cambria"/>
          <w:b w:val="false"/>
          <w:bCs w:val="false"/>
          <w:i w:val="false"/>
          <w:iCs w:val="false"/>
          <w:color w:val="2A2A2A"/>
          <w:sz w:val="22"/>
          <w:szCs w:val="22"/>
        </w:rPr>
        <w:t xml:space="preserve">Coined by Dr. Shawn Ginwright, healing-centered engagement moves beyond reducing harm toward actively cultivating the conditions for flourishing.</w:t>
      </w:r>
    </w:p>
    <w:p>
      <w:pPr>
        <w:spacing w:after="60" w:before="160"/>
      </w:pPr>
      <w:r>
        <w:rPr>
          <w:rFonts w:ascii="Cambria" w:cs="Cambria" w:eastAsia="Cambria" w:hAnsi="Cambria"/>
          <w:b/>
          <w:bCs/>
          <w:color w:val="1B6B73"/>
          <w:sz w:val="21"/>
          <w:szCs w:val="21"/>
        </w:rPr>
        <w:t xml:space="preserve">Trauma-Informed vs. Healing-Centered</w:t>
      </w:r>
    </w:p>
    <w:p>
      <w:pPr>
        <w:pStyle w:val="ListParagraph"/>
        <w:numPr>
          <w:ilvl w:val="0"/>
          <w:numId w:val="1"/>
        </w:numPr>
        <w:spacing w:after="80" w:line="280"/>
      </w:pPr>
      <w:r>
        <w:rPr>
          <w:rFonts w:ascii="Cambria" w:cs="Cambria" w:eastAsia="Cambria" w:hAnsi="Cambria"/>
          <w:color w:val="2A2A2A"/>
          <w:sz w:val="21"/>
          <w:szCs w:val="21"/>
        </w:rPr>
        <w:t xml:space="preserve">Trauma-informed: “I will not make things worse. I will create safety and recognize trauma's impact.”</w:t>
      </w:r>
    </w:p>
    <w:p>
      <w:pPr>
        <w:pStyle w:val="ListParagraph"/>
        <w:numPr>
          <w:ilvl w:val="0"/>
          <w:numId w:val="1"/>
        </w:numPr>
        <w:spacing w:after="80" w:line="280"/>
      </w:pPr>
      <w:r>
        <w:rPr>
          <w:rFonts w:ascii="Cambria" w:cs="Cambria" w:eastAsia="Cambria" w:hAnsi="Cambria"/>
          <w:color w:val="2A2A2A"/>
          <w:sz w:val="21"/>
          <w:szCs w:val="21"/>
        </w:rPr>
        <w:t xml:space="preserve">Healing-centered: “I see your full humanity — your culture, strengths, values, and dreams. I am here to build on what is already strong.”</w:t>
      </w:r>
    </w:p>
    <w:p>
      <w:pPr>
        <w:spacing w:after="60" w:before="140"/>
      </w:pPr>
      <w:r>
        <w:rPr>
          <w:rFonts w:ascii="Cambria" w:cs="Cambria" w:eastAsia="Cambria" w:hAnsi="Cambria"/>
          <w:b/>
          <w:bCs/>
          <w:color w:val="888888"/>
          <w:sz w:val="18"/>
          <w:szCs w:val="18"/>
        </w:rPr>
        <w:t xml:space="preserve">Notes</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16</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Fostering Resilience &amp; Long-Term Stability</w:t>
            </w:r>
          </w:p>
          <w:p>
            <w:r>
              <w:rPr>
                <w:rFonts w:ascii="Cambria" w:cs="Cambria" w:eastAsia="Cambria" w:hAnsi="Cambria"/>
                <w:i/>
                <w:iCs/>
                <w:color w:val="555555"/>
                <w:sz w:val="18"/>
                <w:szCs w:val="18"/>
              </w:rPr>
              <w:t xml:space="preserve">Six strategies</w:t>
            </w:r>
          </w:p>
        </w:tc>
      </w:tr>
    </w:tbl>
    <w:p>
      <w:pPr>
        <w:pStyle w:val="ListParagraph"/>
        <w:numPr>
          <w:ilvl w:val="0"/>
          <w:numId w:val="1"/>
        </w:numPr>
        <w:spacing w:after="80" w:line="280"/>
      </w:pPr>
      <w:r>
        <w:rPr>
          <w:rFonts w:ascii="Cambria" w:cs="Cambria" w:eastAsia="Cambria" w:hAnsi="Cambria"/>
          <w:color w:val="2A2A2A"/>
          <w:sz w:val="21"/>
          <w:szCs w:val="21"/>
        </w:rPr>
        <w:t xml:space="preserve">Name &amp; build strengths</w:t>
      </w:r>
    </w:p>
    <w:p>
      <w:pPr>
        <w:pStyle w:val="ListParagraph"/>
        <w:numPr>
          <w:ilvl w:val="0"/>
          <w:numId w:val="1"/>
        </w:numPr>
        <w:spacing w:after="80" w:line="280"/>
      </w:pPr>
      <w:r>
        <w:rPr>
          <w:rFonts w:ascii="Cambria" w:cs="Cambria" w:eastAsia="Cambria" w:hAnsi="Cambria"/>
          <w:color w:val="2A2A2A"/>
          <w:sz w:val="21"/>
          <w:szCs w:val="21"/>
        </w:rPr>
        <w:t xml:space="preserve">Connect goals to identity</w:t>
      </w:r>
    </w:p>
    <w:p>
      <w:pPr>
        <w:pStyle w:val="ListParagraph"/>
        <w:numPr>
          <w:ilvl w:val="0"/>
          <w:numId w:val="1"/>
        </w:numPr>
        <w:spacing w:after="80" w:line="280"/>
      </w:pPr>
      <w:r>
        <w:rPr>
          <w:rFonts w:ascii="Cambria" w:cs="Cambria" w:eastAsia="Cambria" w:hAnsi="Cambria"/>
          <w:color w:val="2A2A2A"/>
          <w:sz w:val="21"/>
          <w:szCs w:val="21"/>
        </w:rPr>
        <w:t xml:space="preserve">Create predictable touchpoints</w:t>
      </w:r>
    </w:p>
    <w:p>
      <w:pPr>
        <w:pStyle w:val="ListParagraph"/>
        <w:numPr>
          <w:ilvl w:val="0"/>
          <w:numId w:val="1"/>
        </w:numPr>
        <w:spacing w:after="80" w:line="280"/>
      </w:pPr>
      <w:r>
        <w:rPr>
          <w:rFonts w:ascii="Cambria" w:cs="Cambria" w:eastAsia="Cambria" w:hAnsi="Cambria"/>
          <w:color w:val="2A2A2A"/>
          <w:sz w:val="21"/>
          <w:szCs w:val="21"/>
        </w:rPr>
        <w:t xml:space="preserve">Honor cultural context</w:t>
      </w:r>
    </w:p>
    <w:p>
      <w:pPr>
        <w:pStyle w:val="ListParagraph"/>
        <w:numPr>
          <w:ilvl w:val="0"/>
          <w:numId w:val="1"/>
        </w:numPr>
        <w:spacing w:after="80" w:line="280"/>
      </w:pPr>
      <w:r>
        <w:rPr>
          <w:rFonts w:ascii="Cambria" w:cs="Cambria" w:eastAsia="Cambria" w:hAnsi="Cambria"/>
          <w:color w:val="2A2A2A"/>
          <w:sz w:val="21"/>
          <w:szCs w:val="21"/>
        </w:rPr>
        <w:t xml:space="preserve">Make progress visible</w:t>
      </w:r>
    </w:p>
    <w:p>
      <w:pPr>
        <w:pStyle w:val="ListParagraph"/>
        <w:numPr>
          <w:ilvl w:val="0"/>
          <w:numId w:val="1"/>
        </w:numPr>
        <w:spacing w:after="80" w:line="280"/>
      </w:pPr>
      <w:r>
        <w:rPr>
          <w:rFonts w:ascii="Cambria" w:cs="Cambria" w:eastAsia="Cambria" w:hAnsi="Cambria"/>
          <w:color w:val="2A2A2A"/>
          <w:sz w:val="21"/>
          <w:szCs w:val="21"/>
        </w:rPr>
        <w:t xml:space="preserve">Plan for setbacks</w:t>
      </w:r>
    </w:p>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Planning for setbacks is not lowered expectations — it is trauma-informed design.</w:t>
            </w:r>
          </w:p>
        </w:tc>
      </w:tr>
    </w:tbl>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6B4E8E"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17</w:t>
            </w:r>
          </w:p>
        </w:tc>
        <w:tc>
          <w:tcPr>
            <w:tcW w:type="dxa" w:w="8250"/>
            <w:shd w:fill="EEF4F4" w:val="clear"/>
            <w:tcMar>
              <w:top w:type="dxa" w:w="120"/>
              <w:left w:type="dxa" w:w="200"/>
              <w:bottom w:type="dxa" w:w="120"/>
              <w:right w:type="dxa" w:w="200"/>
            </w:tcMar>
          </w:tcPr>
          <w:p>
            <w:pPr>
              <w:spacing w:after="30"/>
            </w:pPr>
            <w:r>
              <w:rPr>
                <w:rFonts w:ascii="Cambria" w:cs="Cambria" w:eastAsia="Cambria" w:hAnsi="Cambria"/>
                <w:b/>
                <w:bCs/>
                <w:color w:val="1B6B73"/>
                <w:sz w:val="25"/>
                <w:szCs w:val="25"/>
              </w:rPr>
              <w:t xml:space="preserve">Common Ground Challenge</w:t>
            </w:r>
          </w:p>
          <w:p>
            <w:r>
              <w:rPr>
                <w:rFonts w:ascii="Cambria" w:cs="Cambria" w:eastAsia="Cambria" w:hAnsi="Cambria"/>
                <w:i/>
                <w:iCs/>
                <w:color w:val="555555"/>
                <w:sz w:val="18"/>
                <w:szCs w:val="18"/>
              </w:rPr>
              <w:t xml:space="preserve">Activity</w:t>
            </w:r>
          </w:p>
        </w:tc>
      </w:tr>
    </w:tbl>
    <w:p>
      <w:pPr>
        <w:spacing w:after="130" w:line="300"/>
      </w:pPr>
      <w:r>
        <w:rPr>
          <w:rFonts w:ascii="Cambria" w:cs="Cambria" w:eastAsia="Cambria" w:hAnsi="Cambria"/>
          <w:b w:val="false"/>
          <w:bCs w:val="false"/>
          <w:i w:val="false"/>
          <w:iCs w:val="false"/>
          <w:color w:val="2A2A2A"/>
          <w:sz w:val="22"/>
          <w:szCs w:val="22"/>
        </w:rPr>
        <w:t xml:space="preserve">Choose at least one commitment from each area below — something you'll do before your next appointment.</w:t>
      </w:r>
    </w:p>
    <w:p>
      <w:pPr>
        <w:spacing w:after="60" w:before="160"/>
      </w:pPr>
      <w:r>
        <w:rPr>
          <w:rFonts w:ascii="Cambria" w:cs="Cambria" w:eastAsia="Cambria" w:hAnsi="Cambria"/>
          <w:b/>
          <w:bCs/>
          <w:color w:val="1B6B73"/>
          <w:sz w:val="21"/>
          <w:szCs w:val="21"/>
        </w:rPr>
        <w:t xml:space="preserve">In My Interactions</w:t>
      </w:r>
    </w:p>
    <w:p>
      <w:pPr>
        <w:pBdr>
          <w:bottom w:val="single" w:color="BFBFBF" w:sz="4" w:space="4"/>
        </w:pBdr>
        <w:spacing w:after="240"/>
      </w:pPr>
      <w:r>
        <w:rPr>
          <w:rFonts w:ascii="Cambria" w:cs="Cambria" w:eastAsia="Cambria" w:hAnsi="Cambria"/>
          <w:sz w:val="22"/>
          <w:szCs w:val="22"/>
        </w:rPr>
        <w:t xml:space="preserve"> </w:t>
      </w:r>
    </w:p>
    <w:p>
      <w:pPr>
        <w:spacing w:after="60" w:before="160"/>
      </w:pPr>
      <w:r>
        <w:rPr>
          <w:rFonts w:ascii="Cambria" w:cs="Cambria" w:eastAsia="Cambria" w:hAnsi="Cambria"/>
          <w:b/>
          <w:bCs/>
          <w:color w:val="1B6B73"/>
          <w:sz w:val="21"/>
          <w:szCs w:val="21"/>
        </w:rPr>
        <w:t xml:space="preserve">In My Practice</w:t>
      </w:r>
    </w:p>
    <w:p>
      <w:pPr>
        <w:pBdr>
          <w:bottom w:val="single" w:color="BFBFBF" w:sz="4" w:space="4"/>
        </w:pBdr>
        <w:spacing w:after="240"/>
      </w:pPr>
      <w:r>
        <w:rPr>
          <w:rFonts w:ascii="Cambria" w:cs="Cambria" w:eastAsia="Cambria" w:hAnsi="Cambria"/>
          <w:sz w:val="22"/>
          <w:szCs w:val="22"/>
        </w:rPr>
        <w:t xml:space="preserve"> </w:t>
      </w:r>
    </w:p>
    <w:p>
      <w:pPr>
        <w:spacing w:after="60" w:before="160"/>
      </w:pPr>
      <w:r>
        <w:rPr>
          <w:rFonts w:ascii="Cambria" w:cs="Cambria" w:eastAsia="Cambria" w:hAnsi="Cambria"/>
          <w:b/>
          <w:bCs/>
          <w:color w:val="1B6B73"/>
          <w:sz w:val="21"/>
          <w:szCs w:val="21"/>
        </w:rPr>
        <w:t xml:space="preserve">For My Families</w:t>
      </w:r>
    </w:p>
    <w:p>
      <w:pPr>
        <w:pBdr>
          <w:bottom w:val="single" w:color="BFBFBF" w:sz="4" w:space="4"/>
        </w:pBdr>
        <w:spacing w:after="240"/>
      </w:pPr>
      <w:r>
        <w:rPr>
          <w:rFonts w:ascii="Cambria" w:cs="Cambria" w:eastAsia="Cambria" w:hAnsi="Cambria"/>
          <w:sz w:val="22"/>
          <w:szCs w:val="22"/>
        </w:rPr>
        <w:t xml:space="preserve"> </w:t>
      </w:r>
    </w:p>
    <w:p>
      <w:pPr>
        <w:pBdr>
          <w:bottom w:val="single" w:color="5FA8AE" w:sz="6" w:space="1"/>
        </w:pBdr>
        <w:spacing w:after="160" w:before="160"/>
      </w:pPr>
      <w:r>
        <w:t xml:space="preserve"/>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1100"/>
            <w:shd w:fill="1B6B73" w:val="clear"/>
            <w:tcMar>
              <w:top w:type="dxa" w:w="120"/>
              <w:left w:type="dxa" w:w="100"/>
              <w:bottom w:type="dxa" w:w="120"/>
              <w:right w:type="dxa" w:w="100"/>
            </w:tcMar>
            <w:vAlign w:val="center"/>
          </w:tcPr>
          <w:p>
            <w:pPr>
              <w:jc w:val="center"/>
            </w:pPr>
            <w:r>
              <w:rPr>
                <w:rFonts w:ascii="Cambria" w:cs="Cambria" w:eastAsia="Cambria" w:hAnsi="Cambria"/>
                <w:b/>
                <w:bCs/>
                <w:color w:val="FFFFFF"/>
                <w:sz w:val="26"/>
                <w:szCs w:val="26"/>
              </w:rPr>
              <w:t xml:space="preserve">18</w:t>
            </w:r>
          </w:p>
        </w:tc>
        <w:tc>
          <w:tcPr>
            <w:tcW w:type="dxa" w:w="8250"/>
            <w:shd w:fill="EEF4F4" w:val="clear"/>
            <w:tcMar>
              <w:top w:type="dxa" w:w="120"/>
              <w:left w:type="dxa" w:w="200"/>
              <w:bottom w:type="dxa" w:w="120"/>
              <w:right w:type="dxa" w:w="200"/>
            </w:tcMar>
          </w:tcPr>
          <w:p>
            <w:pPr>
              <w:spacing w:after="0"/>
            </w:pPr>
            <w:r>
              <w:rPr>
                <w:rFonts w:ascii="Cambria" w:cs="Cambria" w:eastAsia="Cambria" w:hAnsi="Cambria"/>
                <w:b/>
                <w:bCs/>
                <w:color w:val="1B6B73"/>
                <w:sz w:val="25"/>
                <w:szCs w:val="25"/>
              </w:rPr>
              <w:t xml:space="preserve">Closing</w:t>
            </w:r>
          </w:p>
        </w:tc>
      </w:tr>
    </w:tbl>
    <w:tbl>
      <w:tblPr>
        <w:tblW w:type="dxa" w:w="9350"/>
        <w:tblBorders>
          <w:top w:val="single" w:color="6B4E8E" w:sz="4"/>
          <w:left w:val="single" w:color="6B4E8E" w:sz="4"/>
          <w:bottom w:val="single" w:color="6B4E8E" w:sz="4"/>
          <w:right w:val="single" w:color="6B4E8E" w:sz="4"/>
          <w:insideH w:val="single" w:color="auto" w:sz="4"/>
          <w:insideV w:val="single" w:color="auto" w:sz="4"/>
        </w:tblBorders>
      </w:tblPr>
      <w:tblGrid>
        <w:gridCol w:w="100"/>
      </w:tblGrid>
      <w:tr>
        <w:tc>
          <w:tcPr>
            <w:tcW w:type="dxa" w:w="9350"/>
            <w:shd w:fill="F1EDF7" w:val="clear"/>
            <w:tcMar>
              <w:top w:type="dxa" w:w="120"/>
              <w:left w:type="dxa" w:w="180"/>
              <w:bottom w:type="dxa" w:w="120"/>
              <w:right w:type="dxa" w:w="180"/>
            </w:tcMar>
          </w:tcPr>
          <w:p>
            <w:pPr>
              <w:spacing w:after="40"/>
            </w:pPr>
            <w:r>
              <w:rPr>
                <w:rFonts w:ascii="Cambria" w:cs="Cambria" w:eastAsia="Cambria" w:hAnsi="Cambria"/>
                <w:b/>
                <w:bCs/>
                <w:color w:val="6B4E8E"/>
                <w:sz w:val="18"/>
                <w:szCs w:val="18"/>
              </w:rPr>
              <w:t xml:space="preserve">KEY IDEA</w:t>
            </w:r>
          </w:p>
          <w:p>
            <w:r>
              <w:rPr>
                <w:rFonts w:ascii="Cambria" w:cs="Cambria" w:eastAsia="Cambria" w:hAnsi="Cambria"/>
                <w:i/>
                <w:iCs/>
                <w:color w:val="2A2A2A"/>
                <w:sz w:val="21"/>
                <w:szCs w:val="21"/>
              </w:rPr>
              <w:t xml:space="preserve">You are not just a coordinator or a case manager. You are a protective factor. For some families in your program, your consistent, caring, nonjudgmental presence may be the most stable relationship they have.</w:t>
            </w:r>
          </w:p>
        </w:tc>
      </w:tr>
    </w:tbl>
    <w:p>
      <w:pPr>
        <w:spacing w:after="60" w:before="160"/>
      </w:pPr>
      <w:r>
        <w:rPr>
          <w:rFonts w:ascii="Cambria" w:cs="Cambria" w:eastAsia="Cambria" w:hAnsi="Cambria"/>
          <w:b/>
          <w:bCs/>
          <w:color w:val="1B6B73"/>
          <w:sz w:val="21"/>
          <w:szCs w:val="21"/>
        </w:rPr>
        <w:t xml:space="preserve">One thing I'm taking away from today:</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p>
      <w:pPr>
        <w:pBdr>
          <w:bottom w:val="single" w:color="BFBFBF" w:sz="4" w:space="4"/>
        </w:pBdr>
        <w:spacing w:after="240"/>
      </w:pPr>
      <w:r>
        <w:rPr>
          <w:rFonts w:ascii="Cambria" w:cs="Cambria" w:eastAsia="Cambria" w:hAnsi="Cambria"/>
          <w:sz w:val="22"/>
          <w:szCs w:val="22"/>
        </w:rPr>
        <w:t xml:space="preserve"> </w:t>
      </w:r>
    </w:p>
    <w:sectPr>
      <w:headerReference w:type="default" r:id="rId7"/>
      <w:footerReference w:type="default" r:id="rId8"/>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999999"/>
        <w:sz w:val="16"/>
        <w:szCs w:val="16"/>
      </w:rPr>
      <w:t xml:space="preserve">Page </w:t>
    </w:r>
    <w:r>
      <w:rPr>
        <w:rFonts w:ascii="Cambria" w:cs="Cambria" w:eastAsia="Cambria" w:hAnsi="Cambria"/>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mbria" w:cs="Cambria" w:eastAsia="Cambria" w:hAnsi="Cambria"/>
        <w:color w:val="999999"/>
        <w:sz w:val="16"/>
        <w:szCs w:val="16"/>
      </w:rPr>
      <w:t xml:space="preserve">Trauma-Informed Engagement — Participant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2A2A2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2026-08-21T13:53:28.390Z</dcterms:created>
  <dcterms:modified xsi:type="dcterms:W3CDTF">2026-08-21T13:53:28.390Z</dcterms:modified>
</cp:coreProperties>
</file>

<file path=docProps/custom.xml><?xml version="1.0" encoding="utf-8"?>
<Properties xmlns="http://schemas.openxmlformats.org/officeDocument/2006/custom-properties" xmlns:vt="http://schemas.openxmlformats.org/officeDocument/2006/docPropsVTypes"/>
</file>