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DD37F" w14:textId="2EDF693F" w:rsidR="00341DF2" w:rsidRPr="00341DF2" w:rsidRDefault="00341DF2" w:rsidP="00341DF2">
      <w:pPr>
        <w:jc w:val="center"/>
        <w:rPr>
          <w:rFonts w:asciiTheme="majorHAnsi" w:hAnsiTheme="majorHAnsi" w:cstheme="majorHAnsi"/>
          <w:b/>
          <w:sz w:val="28"/>
          <w:szCs w:val="28"/>
        </w:rPr>
      </w:pPr>
      <w:r w:rsidRPr="00341DF2">
        <w:rPr>
          <w:rFonts w:asciiTheme="majorHAnsi" w:hAnsiTheme="majorHAnsi" w:cstheme="majorHAnsi"/>
          <w:b/>
          <w:sz w:val="28"/>
          <w:szCs w:val="28"/>
        </w:rPr>
        <w:t xml:space="preserve">Housing Authority of </w:t>
      </w:r>
      <w:r w:rsidR="00DD3EAC">
        <w:rPr>
          <w:rFonts w:asciiTheme="majorHAnsi" w:hAnsiTheme="majorHAnsi" w:cstheme="majorHAnsi"/>
          <w:b/>
          <w:sz w:val="28"/>
          <w:szCs w:val="28"/>
          <w:u w:val="single"/>
        </w:rPr>
        <w:tab/>
      </w:r>
      <w:r w:rsidR="00DD3EAC">
        <w:rPr>
          <w:rFonts w:asciiTheme="majorHAnsi" w:hAnsiTheme="majorHAnsi" w:cstheme="majorHAnsi"/>
          <w:b/>
          <w:sz w:val="28"/>
          <w:szCs w:val="28"/>
          <w:u w:val="single"/>
        </w:rPr>
        <w:tab/>
      </w:r>
      <w:r w:rsidR="00DD3EAC">
        <w:rPr>
          <w:rFonts w:asciiTheme="majorHAnsi" w:hAnsiTheme="majorHAnsi" w:cstheme="majorHAnsi"/>
          <w:b/>
          <w:sz w:val="28"/>
          <w:szCs w:val="28"/>
          <w:u w:val="single"/>
        </w:rPr>
        <w:tab/>
      </w:r>
      <w:r w:rsidR="00DD3EAC">
        <w:rPr>
          <w:rFonts w:asciiTheme="majorHAnsi" w:hAnsiTheme="majorHAnsi" w:cstheme="majorHAnsi"/>
          <w:b/>
          <w:sz w:val="28"/>
          <w:szCs w:val="28"/>
          <w:u w:val="single"/>
        </w:rPr>
        <w:tab/>
      </w:r>
    </w:p>
    <w:p w14:paraId="1D278E00" w14:textId="5AF361D6" w:rsidR="00341DF2" w:rsidRPr="00341DF2" w:rsidRDefault="00341DF2" w:rsidP="00341DF2">
      <w:pPr>
        <w:pStyle w:val="Heading2"/>
        <w:rPr>
          <w:rFonts w:asciiTheme="majorHAnsi" w:hAnsiTheme="majorHAnsi" w:cstheme="majorHAnsi"/>
        </w:rPr>
      </w:pPr>
      <w:r w:rsidRPr="00341DF2">
        <w:rPr>
          <w:rFonts w:asciiTheme="majorHAnsi" w:hAnsiTheme="majorHAnsi" w:cstheme="majorHAnsi"/>
        </w:rPr>
        <w:t>Request for Qualifications for</w:t>
      </w:r>
    </w:p>
    <w:p w14:paraId="257AC945" w14:textId="16DBB3C0" w:rsidR="004A5444" w:rsidRPr="00DD3EAC" w:rsidRDefault="00DD3EAC" w:rsidP="00DD3EAC">
      <w:pPr>
        <w:pStyle w:val="Heading2"/>
        <w:rPr>
          <w:rFonts w:asciiTheme="majorHAnsi" w:eastAsiaTheme="minorEastAsia" w:hAnsiTheme="majorHAnsi" w:cstheme="majorHAnsi"/>
          <w:u w:val="single"/>
        </w:rPr>
      </w:pPr>
      <w:r>
        <w:rPr>
          <w:rFonts w:asciiTheme="majorHAnsi" w:eastAsiaTheme="minorEastAsia" w:hAnsiTheme="majorHAnsi" w:cstheme="majorHAnsi"/>
          <w:u w:val="single"/>
        </w:rPr>
        <w:tab/>
      </w:r>
      <w:r>
        <w:rPr>
          <w:rFonts w:asciiTheme="majorHAnsi" w:eastAsiaTheme="minorEastAsia" w:hAnsiTheme="majorHAnsi" w:cstheme="majorHAnsi"/>
          <w:u w:val="single"/>
        </w:rPr>
        <w:tab/>
      </w:r>
      <w:r>
        <w:rPr>
          <w:rFonts w:asciiTheme="majorHAnsi" w:eastAsiaTheme="minorEastAsia" w:hAnsiTheme="majorHAnsi" w:cstheme="majorHAnsi"/>
          <w:u w:val="single"/>
        </w:rPr>
        <w:tab/>
      </w:r>
      <w:r>
        <w:rPr>
          <w:rFonts w:asciiTheme="majorHAnsi" w:eastAsiaTheme="minorEastAsia" w:hAnsiTheme="majorHAnsi" w:cstheme="majorHAnsi"/>
          <w:u w:val="single"/>
        </w:rPr>
        <w:tab/>
      </w:r>
      <w:r>
        <w:rPr>
          <w:rFonts w:asciiTheme="majorHAnsi" w:eastAsiaTheme="minorEastAsia" w:hAnsiTheme="majorHAnsi" w:cstheme="majorHAnsi"/>
          <w:u w:val="single"/>
        </w:rPr>
        <w:tab/>
      </w:r>
      <w:r>
        <w:rPr>
          <w:rFonts w:asciiTheme="majorHAnsi" w:eastAsiaTheme="minorEastAsia" w:hAnsiTheme="majorHAnsi" w:cstheme="majorHAnsi"/>
          <w:u w:val="single"/>
        </w:rPr>
        <w:tab/>
      </w:r>
      <w:r>
        <w:rPr>
          <w:rFonts w:asciiTheme="majorHAnsi" w:eastAsiaTheme="minorEastAsia" w:hAnsiTheme="majorHAnsi" w:cstheme="majorHAnsi"/>
          <w:u w:val="single"/>
        </w:rPr>
        <w:tab/>
      </w:r>
      <w:r>
        <w:rPr>
          <w:rFonts w:asciiTheme="majorHAnsi" w:eastAsiaTheme="minorEastAsia" w:hAnsiTheme="majorHAnsi" w:cstheme="majorHAnsi"/>
          <w:u w:val="single"/>
        </w:rPr>
        <w:tab/>
      </w:r>
    </w:p>
    <w:p w14:paraId="709F4BEE" w14:textId="0F5456E8" w:rsidR="00341DF2" w:rsidRDefault="00341DF2" w:rsidP="00341DF2">
      <w:pPr>
        <w:jc w:val="center"/>
        <w:rPr>
          <w:rFonts w:asciiTheme="majorHAnsi" w:hAnsiTheme="majorHAnsi" w:cstheme="majorHAnsi"/>
          <w:b/>
          <w:sz w:val="28"/>
          <w:szCs w:val="28"/>
        </w:rPr>
      </w:pPr>
      <w:r>
        <w:rPr>
          <w:rFonts w:asciiTheme="majorHAnsi" w:hAnsiTheme="majorHAnsi" w:cstheme="majorHAnsi"/>
          <w:b/>
          <w:sz w:val="28"/>
          <w:szCs w:val="28"/>
        </w:rPr>
        <w:t>Instructions for Reviewing Proposals</w:t>
      </w:r>
    </w:p>
    <w:p w14:paraId="3196B3A9" w14:textId="77777777" w:rsidR="00F67461" w:rsidRPr="00341DF2" w:rsidRDefault="00F67461" w:rsidP="00341DF2">
      <w:pPr>
        <w:jc w:val="center"/>
        <w:rPr>
          <w:rFonts w:asciiTheme="majorHAnsi" w:hAnsiTheme="majorHAnsi" w:cstheme="majorHAnsi"/>
          <w:b/>
          <w:sz w:val="28"/>
          <w:szCs w:val="28"/>
        </w:rPr>
      </w:pPr>
    </w:p>
    <w:p w14:paraId="0EF195CA" w14:textId="77777777" w:rsidR="00F02CC9" w:rsidRDefault="00F02CC9" w:rsidP="00F02CC9">
      <w:pPr>
        <w:rPr>
          <w:rFonts w:asciiTheme="majorHAnsi" w:hAnsiTheme="majorHAnsi"/>
        </w:rPr>
      </w:pPr>
    </w:p>
    <w:p w14:paraId="0EF195CD" w14:textId="245FF0C0" w:rsidR="00F02CC9" w:rsidRPr="00556CD7" w:rsidRDefault="00F02CC9" w:rsidP="00F02CC9">
      <w:pPr>
        <w:pStyle w:val="ListParagraph"/>
        <w:numPr>
          <w:ilvl w:val="0"/>
          <w:numId w:val="2"/>
        </w:numPr>
        <w:ind w:left="360"/>
        <w:rPr>
          <w:rFonts w:asciiTheme="majorHAnsi" w:hAnsiTheme="majorHAnsi"/>
          <w:b/>
        </w:rPr>
      </w:pPr>
      <w:r w:rsidRPr="00556CD7">
        <w:rPr>
          <w:rFonts w:asciiTheme="majorHAnsi" w:hAnsiTheme="majorHAnsi"/>
          <w:b/>
        </w:rPr>
        <w:t>Review key evaluation criteria and definitions</w:t>
      </w:r>
      <w:r w:rsidR="00DD3EAC">
        <w:rPr>
          <w:rFonts w:asciiTheme="majorHAnsi" w:hAnsiTheme="majorHAnsi"/>
          <w:b/>
        </w:rPr>
        <w:t xml:space="preserve"> (MODIFY CRITERIA AS NECESSARY)</w:t>
      </w:r>
    </w:p>
    <w:p w14:paraId="3F8F5F4F" w14:textId="1A408AC8" w:rsidR="00E80CCC" w:rsidRDefault="00E80CCC" w:rsidP="00E80CCC">
      <w:pPr>
        <w:rPr>
          <w:rFonts w:asciiTheme="majorHAnsi" w:hAnsiTheme="majorHAnsi"/>
        </w:rPr>
      </w:pPr>
    </w:p>
    <w:tbl>
      <w:tblPr>
        <w:tblStyle w:val="TableGrid"/>
        <w:tblW w:w="9559" w:type="dxa"/>
        <w:tblInd w:w="-5" w:type="dxa"/>
        <w:tblLook w:val="04A0" w:firstRow="1" w:lastRow="0" w:firstColumn="1" w:lastColumn="0" w:noHBand="0" w:noVBand="1"/>
      </w:tblPr>
      <w:tblGrid>
        <w:gridCol w:w="2044"/>
        <w:gridCol w:w="6596"/>
        <w:gridCol w:w="919"/>
      </w:tblGrid>
      <w:tr w:rsidR="00E80CCC" w:rsidRPr="00262D4E" w14:paraId="540C2C19" w14:textId="77777777" w:rsidTr="00E80CCC">
        <w:tc>
          <w:tcPr>
            <w:tcW w:w="9559" w:type="dxa"/>
            <w:gridSpan w:val="3"/>
            <w:shd w:val="clear" w:color="auto" w:fill="D9D9D9" w:themeFill="background1" w:themeFillShade="D9"/>
          </w:tcPr>
          <w:p w14:paraId="770BA0F7" w14:textId="77777777" w:rsidR="003D64A3" w:rsidRPr="003D64A3" w:rsidRDefault="003D64A3" w:rsidP="001A0069">
            <w:pPr>
              <w:jc w:val="center"/>
              <w:rPr>
                <w:rFonts w:ascii="Calibri" w:eastAsia="Calibri" w:hAnsi="Calibri" w:cs="Calibri"/>
                <w:sz w:val="6"/>
                <w:szCs w:val="6"/>
              </w:rPr>
            </w:pPr>
          </w:p>
          <w:p w14:paraId="54D059D6" w14:textId="58134A06" w:rsidR="00E80CCC" w:rsidRDefault="00E80CCC" w:rsidP="001A0069">
            <w:pPr>
              <w:jc w:val="center"/>
              <w:rPr>
                <w:rFonts w:ascii="Calibri" w:eastAsia="Calibri" w:hAnsi="Calibri" w:cs="Calibri"/>
              </w:rPr>
            </w:pPr>
            <w:r>
              <w:rPr>
                <w:rFonts w:ascii="Calibri" w:eastAsia="Calibri" w:hAnsi="Calibri" w:cs="Calibri"/>
              </w:rPr>
              <w:t>FIRST PHASE OF PROPOSAL REVIEW – ALL RESPONDENTS</w:t>
            </w:r>
          </w:p>
          <w:p w14:paraId="08FFAFE9" w14:textId="0137CD6C" w:rsidR="003D64A3" w:rsidRPr="003D64A3" w:rsidRDefault="003D64A3" w:rsidP="001A0069">
            <w:pPr>
              <w:jc w:val="center"/>
              <w:rPr>
                <w:rFonts w:ascii="Calibri" w:eastAsia="Calibri" w:hAnsi="Calibri" w:cs="Calibri"/>
                <w:sz w:val="6"/>
                <w:szCs w:val="6"/>
              </w:rPr>
            </w:pPr>
          </w:p>
        </w:tc>
      </w:tr>
      <w:tr w:rsidR="00E80CCC" w:rsidRPr="00262D4E" w14:paraId="0F60ABBB" w14:textId="77777777" w:rsidTr="00E80CCC">
        <w:tc>
          <w:tcPr>
            <w:tcW w:w="2044" w:type="dxa"/>
          </w:tcPr>
          <w:p w14:paraId="7204AC98" w14:textId="77777777" w:rsidR="00E80CCC" w:rsidRPr="00262D4E" w:rsidRDefault="00E80CCC" w:rsidP="001A0069">
            <w:pPr>
              <w:rPr>
                <w:rFonts w:ascii="Calibri" w:eastAsia="Calibri" w:hAnsi="Calibri" w:cs="Calibri"/>
              </w:rPr>
            </w:pPr>
            <w:r w:rsidRPr="00262D4E">
              <w:rPr>
                <w:rFonts w:ascii="Calibri" w:eastAsia="Calibri" w:hAnsi="Calibri" w:cs="Calibri"/>
              </w:rPr>
              <w:t>Management Capacity</w:t>
            </w:r>
          </w:p>
        </w:tc>
        <w:tc>
          <w:tcPr>
            <w:tcW w:w="6596" w:type="dxa"/>
          </w:tcPr>
          <w:p w14:paraId="385E4A8A" w14:textId="77777777" w:rsidR="00E80CCC" w:rsidRPr="00262D4E" w:rsidRDefault="00E80CCC" w:rsidP="001A0069">
            <w:pPr>
              <w:rPr>
                <w:rFonts w:ascii="Calibri" w:eastAsia="Calibri" w:hAnsi="Calibri" w:cs="Calibri"/>
              </w:rPr>
            </w:pPr>
            <w:r w:rsidRPr="00262D4E">
              <w:rPr>
                <w:rFonts w:ascii="Calibri" w:eastAsia="Calibri" w:hAnsi="Calibri" w:cs="Calibri"/>
              </w:rPr>
              <w:t xml:space="preserve">Evidence of ability to perform the work </w:t>
            </w:r>
          </w:p>
          <w:p w14:paraId="145E6BC6" w14:textId="77777777" w:rsidR="00E80CCC" w:rsidRPr="00262D4E" w:rsidRDefault="00E80CCC" w:rsidP="00E80CCC">
            <w:pPr>
              <w:numPr>
                <w:ilvl w:val="0"/>
                <w:numId w:val="5"/>
              </w:numPr>
              <w:contextualSpacing/>
              <w:rPr>
                <w:rFonts w:ascii="Calibri" w:eastAsia="Calibri" w:hAnsi="Calibri" w:cs="Calibri"/>
              </w:rPr>
            </w:pPr>
            <w:r w:rsidRPr="00262D4E">
              <w:rPr>
                <w:rFonts w:ascii="Calibri" w:eastAsia="Calibri" w:hAnsi="Calibri" w:cs="Calibri"/>
              </w:rPr>
              <w:t>Qualifications, experience and expertise of each team member assigned to the project (principals and primary staff)</w:t>
            </w:r>
          </w:p>
          <w:p w14:paraId="05594407" w14:textId="77777777" w:rsidR="00E80CCC" w:rsidRDefault="00E80CCC" w:rsidP="00E80CCC">
            <w:pPr>
              <w:numPr>
                <w:ilvl w:val="0"/>
                <w:numId w:val="5"/>
              </w:numPr>
              <w:contextualSpacing/>
              <w:rPr>
                <w:rFonts w:ascii="Calibri" w:eastAsia="Calibri" w:hAnsi="Calibri" w:cs="Calibri"/>
              </w:rPr>
            </w:pPr>
            <w:r w:rsidRPr="00262D4E">
              <w:rPr>
                <w:rFonts w:ascii="Calibri" w:eastAsia="Calibri" w:hAnsi="Calibri" w:cs="Calibri"/>
              </w:rPr>
              <w:t>Current project load and capacity of team to effectively manage this project</w:t>
            </w:r>
          </w:p>
          <w:p w14:paraId="2D106893" w14:textId="37E3E036" w:rsidR="00E80CCC" w:rsidRDefault="00E80CCC" w:rsidP="001A0069">
            <w:pPr>
              <w:ind w:left="720"/>
              <w:contextualSpacing/>
              <w:rPr>
                <w:rFonts w:ascii="Calibri" w:eastAsia="Calibri" w:hAnsi="Calibri" w:cs="Calibri"/>
                <w:sz w:val="12"/>
                <w:szCs w:val="12"/>
              </w:rPr>
            </w:pPr>
          </w:p>
          <w:p w14:paraId="3C1D3E6D" w14:textId="77777777" w:rsidR="00ED5D57" w:rsidRDefault="00ED5D57" w:rsidP="001A0069">
            <w:pPr>
              <w:ind w:left="720"/>
              <w:contextualSpacing/>
              <w:rPr>
                <w:rFonts w:ascii="Calibri" w:eastAsia="Calibri" w:hAnsi="Calibri" w:cs="Calibri"/>
                <w:sz w:val="12"/>
                <w:szCs w:val="12"/>
              </w:rPr>
            </w:pPr>
          </w:p>
          <w:p w14:paraId="4C9383C1" w14:textId="0CEAF6F2" w:rsidR="00ED5D57" w:rsidRPr="00262D4E" w:rsidRDefault="00ED5D57" w:rsidP="001A0069">
            <w:pPr>
              <w:ind w:left="720"/>
              <w:contextualSpacing/>
              <w:rPr>
                <w:rFonts w:ascii="Calibri" w:eastAsia="Calibri" w:hAnsi="Calibri" w:cs="Calibri"/>
                <w:sz w:val="12"/>
                <w:szCs w:val="12"/>
              </w:rPr>
            </w:pPr>
          </w:p>
        </w:tc>
        <w:tc>
          <w:tcPr>
            <w:tcW w:w="919" w:type="dxa"/>
          </w:tcPr>
          <w:p w14:paraId="52325A54" w14:textId="77777777" w:rsidR="00E80CCC" w:rsidRPr="00262D4E" w:rsidRDefault="00E80CCC" w:rsidP="001A0069">
            <w:pPr>
              <w:jc w:val="center"/>
              <w:rPr>
                <w:rFonts w:ascii="Calibri" w:eastAsia="Calibri" w:hAnsi="Calibri" w:cs="Calibri"/>
              </w:rPr>
            </w:pPr>
          </w:p>
          <w:p w14:paraId="70C032D6" w14:textId="77777777" w:rsidR="00E80CCC" w:rsidRPr="00262D4E" w:rsidRDefault="00E80CCC" w:rsidP="001A0069">
            <w:pPr>
              <w:jc w:val="center"/>
              <w:rPr>
                <w:rFonts w:ascii="Calibri" w:eastAsia="Calibri" w:hAnsi="Calibri" w:cs="Calibri"/>
              </w:rPr>
            </w:pPr>
          </w:p>
          <w:p w14:paraId="186B3248" w14:textId="77777777" w:rsidR="00E80CCC" w:rsidRPr="00262D4E" w:rsidRDefault="00E80CCC" w:rsidP="001A0069">
            <w:pPr>
              <w:jc w:val="center"/>
              <w:rPr>
                <w:rFonts w:ascii="Calibri" w:eastAsia="Calibri" w:hAnsi="Calibri" w:cs="Calibri"/>
              </w:rPr>
            </w:pPr>
          </w:p>
          <w:p w14:paraId="6374B56B" w14:textId="77777777" w:rsidR="00E80CCC" w:rsidRPr="00262D4E" w:rsidRDefault="00E80CCC" w:rsidP="001A0069">
            <w:pPr>
              <w:jc w:val="center"/>
              <w:rPr>
                <w:rFonts w:ascii="Calibri" w:eastAsia="Calibri" w:hAnsi="Calibri" w:cs="Calibri"/>
              </w:rPr>
            </w:pPr>
            <w:r w:rsidRPr="00262D4E">
              <w:rPr>
                <w:rFonts w:ascii="Calibri" w:eastAsia="Calibri" w:hAnsi="Calibri" w:cs="Calibri"/>
              </w:rPr>
              <w:t>20</w:t>
            </w:r>
          </w:p>
        </w:tc>
      </w:tr>
      <w:tr w:rsidR="00E80CCC" w:rsidRPr="00262D4E" w14:paraId="366C00D2" w14:textId="77777777" w:rsidTr="00E80CCC">
        <w:tc>
          <w:tcPr>
            <w:tcW w:w="2044" w:type="dxa"/>
          </w:tcPr>
          <w:p w14:paraId="0AA8E0F4" w14:textId="77777777" w:rsidR="00E80CCC" w:rsidRPr="00262D4E" w:rsidRDefault="00E80CCC" w:rsidP="001A0069">
            <w:pPr>
              <w:rPr>
                <w:rFonts w:ascii="Calibri" w:eastAsia="Calibri" w:hAnsi="Calibri" w:cs="Calibri"/>
              </w:rPr>
            </w:pPr>
            <w:r w:rsidRPr="00262D4E">
              <w:rPr>
                <w:rFonts w:ascii="Calibri" w:eastAsia="Calibri" w:hAnsi="Calibri" w:cs="Calibri"/>
              </w:rPr>
              <w:t>Experience</w:t>
            </w:r>
          </w:p>
        </w:tc>
        <w:tc>
          <w:tcPr>
            <w:tcW w:w="6596" w:type="dxa"/>
          </w:tcPr>
          <w:p w14:paraId="0BCAB714" w14:textId="77777777" w:rsidR="00E80CCC" w:rsidRPr="00262D4E" w:rsidRDefault="00E80CCC" w:rsidP="001A0069">
            <w:pPr>
              <w:rPr>
                <w:rFonts w:ascii="Calibri" w:eastAsia="Calibri" w:hAnsi="Calibri" w:cs="Calibri"/>
              </w:rPr>
            </w:pPr>
            <w:r w:rsidRPr="00262D4E">
              <w:rPr>
                <w:rFonts w:ascii="Calibri" w:eastAsia="Calibri" w:hAnsi="Calibri" w:cs="Calibri"/>
              </w:rPr>
              <w:t>Evidence of past experience with mixed-income development and construction of projects of similar scope and size</w:t>
            </w:r>
          </w:p>
          <w:p w14:paraId="7ADE23D9" w14:textId="77777777" w:rsidR="00E80CCC" w:rsidRPr="00262D4E" w:rsidRDefault="00E80CCC" w:rsidP="00E80CCC">
            <w:pPr>
              <w:numPr>
                <w:ilvl w:val="0"/>
                <w:numId w:val="4"/>
              </w:numPr>
              <w:contextualSpacing/>
              <w:rPr>
                <w:rFonts w:ascii="Calibri" w:eastAsia="Calibri" w:hAnsi="Calibri" w:cs="Calibri"/>
              </w:rPr>
            </w:pPr>
            <w:r w:rsidRPr="00262D4E">
              <w:rPr>
                <w:rFonts w:ascii="Calibri" w:eastAsia="Calibri" w:hAnsi="Calibri" w:cs="Calibri"/>
              </w:rPr>
              <w:t>Past or current affordable housing projects for a variety of income levels utilizing a variety of housing programs, grant sources (HUD, Choice Neighborhoods, etc), funding sources such as RAD, LIHTC, HTC</w:t>
            </w:r>
            <w:r>
              <w:rPr>
                <w:rFonts w:ascii="Calibri" w:eastAsia="Calibri" w:hAnsi="Calibri" w:cs="Calibri"/>
              </w:rPr>
              <w:t>, ad HUD programs such as Section 18 demolition/ disposition</w:t>
            </w:r>
          </w:p>
          <w:p w14:paraId="371234C4" w14:textId="77777777" w:rsidR="00E80CCC" w:rsidRDefault="00E80CCC" w:rsidP="00E80CCC">
            <w:pPr>
              <w:numPr>
                <w:ilvl w:val="0"/>
                <w:numId w:val="4"/>
              </w:numPr>
              <w:contextualSpacing/>
              <w:rPr>
                <w:rFonts w:ascii="Calibri" w:eastAsia="Calibri" w:hAnsi="Calibri" w:cs="Calibri"/>
              </w:rPr>
            </w:pPr>
            <w:r w:rsidRPr="00262D4E">
              <w:rPr>
                <w:rFonts w:ascii="Calibri" w:eastAsia="Calibri" w:hAnsi="Calibri" w:cs="Calibri"/>
              </w:rPr>
              <w:t>Experience in developing land and mixed-income housing units that utilized innovative and creative approaches</w:t>
            </w:r>
          </w:p>
          <w:p w14:paraId="507F23A3" w14:textId="77777777" w:rsidR="00E80CCC" w:rsidRPr="00262D4E" w:rsidRDefault="00E80CCC" w:rsidP="00E80CCC">
            <w:pPr>
              <w:numPr>
                <w:ilvl w:val="0"/>
                <w:numId w:val="4"/>
              </w:numPr>
              <w:contextualSpacing/>
              <w:rPr>
                <w:rFonts w:ascii="Calibri" w:eastAsia="Calibri" w:hAnsi="Calibri" w:cs="Calibri"/>
              </w:rPr>
            </w:pPr>
            <w:r>
              <w:rPr>
                <w:rFonts w:ascii="Calibri" w:eastAsia="Calibri" w:hAnsi="Calibri" w:cs="Calibri"/>
              </w:rPr>
              <w:t xml:space="preserve">Experience in repositioning public housing </w:t>
            </w:r>
          </w:p>
          <w:p w14:paraId="3886F54A" w14:textId="77777777" w:rsidR="00E80CCC" w:rsidRDefault="00E80CCC" w:rsidP="00E80CCC">
            <w:pPr>
              <w:numPr>
                <w:ilvl w:val="0"/>
                <w:numId w:val="4"/>
              </w:numPr>
              <w:contextualSpacing/>
              <w:rPr>
                <w:rFonts w:ascii="Calibri" w:eastAsia="Calibri" w:hAnsi="Calibri" w:cs="Calibri"/>
              </w:rPr>
            </w:pPr>
            <w:r w:rsidRPr="00262D4E">
              <w:rPr>
                <w:rFonts w:ascii="Calibri" w:eastAsia="Calibri" w:hAnsi="Calibri" w:cs="Calibri"/>
              </w:rPr>
              <w:t>Past performance in quality of work, cost control, and compliance with performance schedules and regulatory requirements</w:t>
            </w:r>
          </w:p>
          <w:p w14:paraId="2C7CDFE4" w14:textId="77777777" w:rsidR="00E80CCC" w:rsidRDefault="00E80CCC" w:rsidP="00E80CCC">
            <w:pPr>
              <w:numPr>
                <w:ilvl w:val="0"/>
                <w:numId w:val="4"/>
              </w:numPr>
              <w:contextualSpacing/>
              <w:rPr>
                <w:rFonts w:ascii="Calibri" w:eastAsia="Calibri" w:hAnsi="Calibri" w:cs="Calibri"/>
              </w:rPr>
            </w:pPr>
            <w:r>
              <w:rPr>
                <w:rFonts w:ascii="Calibri" w:eastAsia="Calibri" w:hAnsi="Calibri" w:cs="Calibri"/>
              </w:rPr>
              <w:t>Past experience with historically designated properties</w:t>
            </w:r>
          </w:p>
          <w:p w14:paraId="4DA5F6A8" w14:textId="77777777" w:rsidR="00E80CCC" w:rsidRDefault="00E80CCC" w:rsidP="00E80CCC">
            <w:pPr>
              <w:numPr>
                <w:ilvl w:val="0"/>
                <w:numId w:val="4"/>
              </w:numPr>
              <w:contextualSpacing/>
              <w:rPr>
                <w:rFonts w:ascii="Calibri" w:eastAsia="Calibri" w:hAnsi="Calibri" w:cs="Calibri"/>
              </w:rPr>
            </w:pPr>
            <w:r>
              <w:rPr>
                <w:rFonts w:ascii="Calibri" w:eastAsia="Calibri" w:hAnsi="Calibri" w:cs="Calibri"/>
              </w:rPr>
              <w:t>References</w:t>
            </w:r>
          </w:p>
          <w:p w14:paraId="36B85066" w14:textId="77777777" w:rsidR="00E80CCC" w:rsidRDefault="00E80CCC" w:rsidP="001A0069">
            <w:pPr>
              <w:ind w:left="720"/>
              <w:contextualSpacing/>
              <w:rPr>
                <w:rFonts w:ascii="Calibri" w:eastAsia="Calibri" w:hAnsi="Calibri" w:cs="Calibri"/>
                <w:sz w:val="12"/>
                <w:szCs w:val="12"/>
              </w:rPr>
            </w:pPr>
          </w:p>
          <w:p w14:paraId="3606A48F" w14:textId="77777777" w:rsidR="00ED5D57" w:rsidRDefault="00ED5D57" w:rsidP="001A0069">
            <w:pPr>
              <w:ind w:left="720"/>
              <w:contextualSpacing/>
              <w:rPr>
                <w:rFonts w:ascii="Calibri" w:eastAsia="Calibri" w:hAnsi="Calibri" w:cs="Calibri"/>
                <w:sz w:val="12"/>
                <w:szCs w:val="12"/>
              </w:rPr>
            </w:pPr>
          </w:p>
          <w:p w14:paraId="72F47A26" w14:textId="5C4DF6EC" w:rsidR="00ED5D57" w:rsidRPr="00262D4E" w:rsidRDefault="00ED5D57" w:rsidP="001A0069">
            <w:pPr>
              <w:ind w:left="720"/>
              <w:contextualSpacing/>
              <w:rPr>
                <w:rFonts w:ascii="Calibri" w:eastAsia="Calibri" w:hAnsi="Calibri" w:cs="Calibri"/>
                <w:sz w:val="12"/>
                <w:szCs w:val="12"/>
              </w:rPr>
            </w:pPr>
          </w:p>
        </w:tc>
        <w:tc>
          <w:tcPr>
            <w:tcW w:w="919" w:type="dxa"/>
          </w:tcPr>
          <w:p w14:paraId="27FEEBF5" w14:textId="77777777" w:rsidR="00E80CCC" w:rsidRPr="00262D4E" w:rsidRDefault="00E80CCC" w:rsidP="001A0069">
            <w:pPr>
              <w:jc w:val="center"/>
              <w:rPr>
                <w:rFonts w:ascii="Calibri" w:eastAsia="Calibri" w:hAnsi="Calibri" w:cs="Calibri"/>
              </w:rPr>
            </w:pPr>
          </w:p>
          <w:p w14:paraId="79AEDC0F" w14:textId="77777777" w:rsidR="00E80CCC" w:rsidRPr="00262D4E" w:rsidRDefault="00E80CCC" w:rsidP="001A0069">
            <w:pPr>
              <w:jc w:val="center"/>
              <w:rPr>
                <w:rFonts w:ascii="Calibri" w:eastAsia="Calibri" w:hAnsi="Calibri" w:cs="Calibri"/>
              </w:rPr>
            </w:pPr>
          </w:p>
          <w:p w14:paraId="443D2548" w14:textId="77777777" w:rsidR="00E80CCC" w:rsidRPr="00262D4E" w:rsidRDefault="00E80CCC" w:rsidP="001A0069">
            <w:pPr>
              <w:jc w:val="center"/>
              <w:rPr>
                <w:rFonts w:ascii="Calibri" w:eastAsia="Calibri" w:hAnsi="Calibri" w:cs="Calibri"/>
              </w:rPr>
            </w:pPr>
          </w:p>
          <w:p w14:paraId="78CC227B" w14:textId="77777777" w:rsidR="00E80CCC" w:rsidRPr="00262D4E" w:rsidRDefault="00E80CCC" w:rsidP="001A0069">
            <w:pPr>
              <w:jc w:val="center"/>
              <w:rPr>
                <w:rFonts w:ascii="Calibri" w:eastAsia="Calibri" w:hAnsi="Calibri" w:cs="Calibri"/>
              </w:rPr>
            </w:pPr>
          </w:p>
          <w:p w14:paraId="4A53B508" w14:textId="77777777" w:rsidR="00E80CCC" w:rsidRPr="00262D4E" w:rsidRDefault="00E80CCC" w:rsidP="001A0069">
            <w:pPr>
              <w:jc w:val="center"/>
              <w:rPr>
                <w:rFonts w:ascii="Calibri" w:eastAsia="Calibri" w:hAnsi="Calibri" w:cs="Calibri"/>
              </w:rPr>
            </w:pPr>
          </w:p>
          <w:p w14:paraId="0854C090" w14:textId="77777777" w:rsidR="00E80CCC" w:rsidRPr="00262D4E" w:rsidRDefault="00E80CCC" w:rsidP="001A0069">
            <w:pPr>
              <w:jc w:val="center"/>
              <w:rPr>
                <w:rFonts w:ascii="Calibri" w:eastAsia="Calibri" w:hAnsi="Calibri" w:cs="Calibri"/>
              </w:rPr>
            </w:pPr>
            <w:r w:rsidRPr="00262D4E">
              <w:rPr>
                <w:rFonts w:ascii="Calibri" w:eastAsia="Calibri" w:hAnsi="Calibri" w:cs="Calibri"/>
              </w:rPr>
              <w:t>20</w:t>
            </w:r>
          </w:p>
        </w:tc>
      </w:tr>
      <w:tr w:rsidR="00E80CCC" w:rsidRPr="00262D4E" w14:paraId="0284A73F" w14:textId="77777777" w:rsidTr="00E80CCC">
        <w:tc>
          <w:tcPr>
            <w:tcW w:w="2044" w:type="dxa"/>
          </w:tcPr>
          <w:p w14:paraId="68684E14" w14:textId="77777777" w:rsidR="00E80CCC" w:rsidRPr="00262D4E" w:rsidRDefault="00E80CCC" w:rsidP="001A0069">
            <w:pPr>
              <w:rPr>
                <w:rFonts w:ascii="Calibri" w:eastAsia="Calibri" w:hAnsi="Calibri" w:cs="Calibri"/>
              </w:rPr>
            </w:pPr>
            <w:r w:rsidRPr="00262D4E">
              <w:rPr>
                <w:rFonts w:ascii="Calibri" w:eastAsia="Calibri" w:hAnsi="Calibri" w:cs="Calibri"/>
              </w:rPr>
              <w:t>Project Approach</w:t>
            </w:r>
          </w:p>
        </w:tc>
        <w:tc>
          <w:tcPr>
            <w:tcW w:w="6596" w:type="dxa"/>
          </w:tcPr>
          <w:p w14:paraId="048854A6" w14:textId="77777777" w:rsidR="00E80CCC" w:rsidRPr="00262D4E" w:rsidRDefault="00E80CCC" w:rsidP="001A0069">
            <w:pPr>
              <w:rPr>
                <w:rFonts w:ascii="Calibri" w:eastAsia="Calibri" w:hAnsi="Calibri" w:cs="Calibri"/>
              </w:rPr>
            </w:pPr>
            <w:r w:rsidRPr="00262D4E">
              <w:rPr>
                <w:rFonts w:ascii="Calibri" w:eastAsia="Calibri" w:hAnsi="Calibri" w:cs="Calibri"/>
              </w:rPr>
              <w:t xml:space="preserve">Degree to which the </w:t>
            </w:r>
            <w:r>
              <w:rPr>
                <w:rFonts w:ascii="Calibri" w:eastAsia="Calibri" w:hAnsi="Calibri" w:cs="Calibri"/>
              </w:rPr>
              <w:t>proposer</w:t>
            </w:r>
            <w:r w:rsidRPr="00262D4E">
              <w:rPr>
                <w:rFonts w:ascii="Calibri" w:eastAsia="Calibri" w:hAnsi="Calibri" w:cs="Calibri"/>
              </w:rPr>
              <w:t xml:space="preserve"> illustrates the overall vision for the project </w:t>
            </w:r>
          </w:p>
          <w:p w14:paraId="7D240FAF" w14:textId="77777777" w:rsidR="00E80CCC" w:rsidRPr="00262D4E" w:rsidRDefault="00E80CCC" w:rsidP="00E80CCC">
            <w:pPr>
              <w:numPr>
                <w:ilvl w:val="0"/>
                <w:numId w:val="6"/>
              </w:numPr>
              <w:contextualSpacing/>
              <w:rPr>
                <w:rFonts w:ascii="Calibri" w:eastAsia="Calibri" w:hAnsi="Calibri" w:cs="Calibri"/>
              </w:rPr>
            </w:pPr>
            <w:r w:rsidRPr="00262D4E">
              <w:rPr>
                <w:rFonts w:ascii="Calibri" w:eastAsia="Calibri" w:hAnsi="Calibri" w:cs="Calibri"/>
              </w:rPr>
              <w:t xml:space="preserve">Evidence the developer understands the project and Agency’s goals, whether from experience with similar projects or from preparatory research </w:t>
            </w:r>
          </w:p>
          <w:p w14:paraId="6B7AB34B" w14:textId="77777777" w:rsidR="00E80CCC" w:rsidRPr="00262D4E" w:rsidRDefault="00E80CCC" w:rsidP="00E80CCC">
            <w:pPr>
              <w:numPr>
                <w:ilvl w:val="0"/>
                <w:numId w:val="6"/>
              </w:numPr>
              <w:contextualSpacing/>
              <w:rPr>
                <w:rFonts w:ascii="Calibri" w:eastAsia="Calibri" w:hAnsi="Calibri" w:cs="Calibri"/>
              </w:rPr>
            </w:pPr>
            <w:r w:rsidRPr="00262D4E">
              <w:rPr>
                <w:rFonts w:ascii="Calibri" w:eastAsia="Calibri" w:hAnsi="Calibri" w:cs="Calibri"/>
              </w:rPr>
              <w:t>Developer’s proposed scope of work addresses the project issues and indicates a good understanding of the historic context, local market, and resident protections</w:t>
            </w:r>
          </w:p>
          <w:p w14:paraId="5D3D34DD" w14:textId="77777777" w:rsidR="00E80CCC" w:rsidRDefault="00E80CCC" w:rsidP="00E80CCC">
            <w:pPr>
              <w:numPr>
                <w:ilvl w:val="0"/>
                <w:numId w:val="6"/>
              </w:numPr>
              <w:contextualSpacing/>
              <w:rPr>
                <w:rFonts w:ascii="Calibri" w:eastAsia="Calibri" w:hAnsi="Calibri" w:cs="Calibri"/>
              </w:rPr>
            </w:pPr>
            <w:r w:rsidRPr="00262D4E">
              <w:rPr>
                <w:rFonts w:ascii="Calibri" w:eastAsia="Calibri" w:hAnsi="Calibri" w:cs="Calibri"/>
              </w:rPr>
              <w:t>Level of community engagement throughout the planning, design and implementation process with residents, the GGV Resident Council, and other stakeholders</w:t>
            </w:r>
          </w:p>
          <w:p w14:paraId="5C5C9FCD" w14:textId="77777777" w:rsidR="00E80CCC" w:rsidRDefault="00E80CCC" w:rsidP="001A0069">
            <w:pPr>
              <w:ind w:left="720"/>
              <w:contextualSpacing/>
              <w:rPr>
                <w:rFonts w:ascii="Calibri" w:eastAsia="Calibri" w:hAnsi="Calibri" w:cs="Calibri"/>
                <w:sz w:val="12"/>
                <w:szCs w:val="12"/>
              </w:rPr>
            </w:pPr>
          </w:p>
          <w:p w14:paraId="7980C68D" w14:textId="77777777" w:rsidR="00ED5D57" w:rsidRDefault="00ED5D57" w:rsidP="001A0069">
            <w:pPr>
              <w:ind w:left="720"/>
              <w:contextualSpacing/>
              <w:rPr>
                <w:rFonts w:ascii="Calibri" w:eastAsia="Calibri" w:hAnsi="Calibri" w:cs="Calibri"/>
                <w:sz w:val="12"/>
                <w:szCs w:val="12"/>
              </w:rPr>
            </w:pPr>
          </w:p>
          <w:p w14:paraId="1021DC6D" w14:textId="686B5AA1" w:rsidR="00ED5D57" w:rsidRPr="00262D4E" w:rsidRDefault="00ED5D57" w:rsidP="001A0069">
            <w:pPr>
              <w:ind w:left="720"/>
              <w:contextualSpacing/>
              <w:rPr>
                <w:rFonts w:ascii="Calibri" w:eastAsia="Calibri" w:hAnsi="Calibri" w:cs="Calibri"/>
                <w:sz w:val="12"/>
                <w:szCs w:val="12"/>
              </w:rPr>
            </w:pPr>
          </w:p>
        </w:tc>
        <w:tc>
          <w:tcPr>
            <w:tcW w:w="919" w:type="dxa"/>
          </w:tcPr>
          <w:p w14:paraId="7E1208C7" w14:textId="77777777" w:rsidR="00E80CCC" w:rsidRPr="00262D4E" w:rsidRDefault="00E80CCC" w:rsidP="001A0069">
            <w:pPr>
              <w:jc w:val="center"/>
              <w:rPr>
                <w:rFonts w:ascii="Calibri" w:eastAsia="Calibri" w:hAnsi="Calibri" w:cs="Calibri"/>
              </w:rPr>
            </w:pPr>
          </w:p>
          <w:p w14:paraId="14E7A990" w14:textId="77777777" w:rsidR="00E80CCC" w:rsidRPr="00262D4E" w:rsidRDefault="00E80CCC" w:rsidP="001A0069">
            <w:pPr>
              <w:jc w:val="center"/>
              <w:rPr>
                <w:rFonts w:ascii="Calibri" w:eastAsia="Calibri" w:hAnsi="Calibri" w:cs="Calibri"/>
              </w:rPr>
            </w:pPr>
          </w:p>
          <w:p w14:paraId="1660C91D" w14:textId="77777777" w:rsidR="00E80CCC" w:rsidRPr="00262D4E" w:rsidRDefault="00E80CCC" w:rsidP="001A0069">
            <w:pPr>
              <w:jc w:val="center"/>
              <w:rPr>
                <w:rFonts w:ascii="Calibri" w:eastAsia="Calibri" w:hAnsi="Calibri" w:cs="Calibri"/>
              </w:rPr>
            </w:pPr>
          </w:p>
          <w:p w14:paraId="1A10222C" w14:textId="77777777" w:rsidR="00E80CCC" w:rsidRPr="00262D4E" w:rsidRDefault="00E80CCC" w:rsidP="001A0069">
            <w:pPr>
              <w:jc w:val="center"/>
              <w:rPr>
                <w:rFonts w:ascii="Calibri" w:eastAsia="Calibri" w:hAnsi="Calibri" w:cs="Calibri"/>
              </w:rPr>
            </w:pPr>
          </w:p>
          <w:p w14:paraId="77FBB425" w14:textId="77777777" w:rsidR="00E80CCC" w:rsidRPr="00262D4E" w:rsidRDefault="00E80CCC" w:rsidP="001A0069">
            <w:pPr>
              <w:jc w:val="center"/>
              <w:rPr>
                <w:rFonts w:ascii="Calibri" w:eastAsia="Calibri" w:hAnsi="Calibri" w:cs="Calibri"/>
              </w:rPr>
            </w:pPr>
          </w:p>
          <w:p w14:paraId="0E3AD832" w14:textId="77777777" w:rsidR="00E80CCC" w:rsidRPr="00262D4E" w:rsidRDefault="00E80CCC" w:rsidP="001A0069">
            <w:pPr>
              <w:jc w:val="center"/>
              <w:rPr>
                <w:rFonts w:ascii="Calibri" w:eastAsia="Calibri" w:hAnsi="Calibri" w:cs="Calibri"/>
              </w:rPr>
            </w:pPr>
            <w:r w:rsidRPr="00262D4E">
              <w:rPr>
                <w:rFonts w:ascii="Calibri" w:eastAsia="Calibri" w:hAnsi="Calibri" w:cs="Calibri"/>
              </w:rPr>
              <w:t>30</w:t>
            </w:r>
          </w:p>
        </w:tc>
      </w:tr>
      <w:tr w:rsidR="00E80CCC" w:rsidRPr="00262D4E" w14:paraId="551369F5" w14:textId="77777777" w:rsidTr="00E80CCC">
        <w:tc>
          <w:tcPr>
            <w:tcW w:w="2044" w:type="dxa"/>
          </w:tcPr>
          <w:p w14:paraId="3610CE64" w14:textId="77777777" w:rsidR="00E80CCC" w:rsidRPr="00262D4E" w:rsidRDefault="00E80CCC" w:rsidP="001A0069">
            <w:pPr>
              <w:rPr>
                <w:rFonts w:ascii="Calibri" w:eastAsia="Calibri" w:hAnsi="Calibri" w:cs="Calibri"/>
              </w:rPr>
            </w:pPr>
            <w:r w:rsidRPr="00262D4E">
              <w:rPr>
                <w:rFonts w:ascii="Calibri" w:eastAsia="Calibri" w:hAnsi="Calibri" w:cs="Calibri"/>
              </w:rPr>
              <w:lastRenderedPageBreak/>
              <w:t>Financial Experience/Capacity</w:t>
            </w:r>
          </w:p>
        </w:tc>
        <w:tc>
          <w:tcPr>
            <w:tcW w:w="6596" w:type="dxa"/>
          </w:tcPr>
          <w:p w14:paraId="3DCA9624" w14:textId="77777777" w:rsidR="00E80CCC" w:rsidRPr="00262D4E" w:rsidRDefault="00E80CCC" w:rsidP="001A0069">
            <w:pPr>
              <w:rPr>
                <w:rFonts w:ascii="Calibri" w:eastAsia="Calibri" w:hAnsi="Calibri" w:cs="Calibri"/>
              </w:rPr>
            </w:pPr>
            <w:r>
              <w:rPr>
                <w:rFonts w:ascii="Calibri" w:eastAsia="Calibri" w:hAnsi="Calibri" w:cs="Calibri"/>
              </w:rPr>
              <w:t>Developer team’s</w:t>
            </w:r>
            <w:r w:rsidRPr="00262D4E">
              <w:rPr>
                <w:rFonts w:ascii="Calibri" w:eastAsia="Calibri" w:hAnsi="Calibri" w:cs="Calibri"/>
              </w:rPr>
              <w:t xml:space="preserve"> documented ability to obtain financial commitments from:</w:t>
            </w:r>
          </w:p>
          <w:p w14:paraId="1FEEBC52" w14:textId="77777777" w:rsidR="00E80CCC" w:rsidRPr="00262D4E" w:rsidRDefault="00E80CCC" w:rsidP="00E80CCC">
            <w:pPr>
              <w:numPr>
                <w:ilvl w:val="0"/>
                <w:numId w:val="7"/>
              </w:numPr>
              <w:contextualSpacing/>
              <w:rPr>
                <w:rFonts w:ascii="Calibri" w:eastAsia="Calibri" w:hAnsi="Calibri" w:cs="Calibri"/>
              </w:rPr>
            </w:pPr>
            <w:r w:rsidRPr="00262D4E">
              <w:rPr>
                <w:rFonts w:ascii="Calibri" w:eastAsia="Calibri" w:hAnsi="Calibri" w:cs="Calibri"/>
              </w:rPr>
              <w:t xml:space="preserve">Federal, state and local agencies, private investors, and banks. </w:t>
            </w:r>
          </w:p>
          <w:p w14:paraId="24BB5614" w14:textId="77777777" w:rsidR="00E80CCC" w:rsidRDefault="00E80CCC" w:rsidP="00E80CCC">
            <w:pPr>
              <w:numPr>
                <w:ilvl w:val="0"/>
                <w:numId w:val="7"/>
              </w:numPr>
              <w:contextualSpacing/>
              <w:rPr>
                <w:rFonts w:ascii="Calibri" w:eastAsia="Calibri" w:hAnsi="Calibri" w:cs="Calibri"/>
              </w:rPr>
            </w:pPr>
            <w:r w:rsidRPr="00262D4E">
              <w:rPr>
                <w:rFonts w:ascii="Calibri" w:eastAsia="Calibri" w:hAnsi="Calibri" w:cs="Calibri"/>
              </w:rPr>
              <w:t xml:space="preserve">A proven track record of creative and viable financial plans that do not rely principally on </w:t>
            </w:r>
            <w:r>
              <w:rPr>
                <w:rFonts w:ascii="Calibri" w:eastAsia="Calibri" w:hAnsi="Calibri" w:cs="Calibri"/>
              </w:rPr>
              <w:t>the Agency’s</w:t>
            </w:r>
            <w:r w:rsidRPr="00262D4E">
              <w:rPr>
                <w:rFonts w:ascii="Calibri" w:eastAsia="Calibri" w:hAnsi="Calibri" w:cs="Calibri"/>
              </w:rPr>
              <w:t xml:space="preserve"> funding.</w:t>
            </w:r>
          </w:p>
          <w:p w14:paraId="536AD282" w14:textId="77777777" w:rsidR="00E80CCC" w:rsidRDefault="00E80CCC" w:rsidP="001A0069">
            <w:pPr>
              <w:ind w:left="720"/>
              <w:contextualSpacing/>
              <w:rPr>
                <w:rFonts w:ascii="Calibri" w:eastAsia="Calibri" w:hAnsi="Calibri" w:cs="Calibri"/>
                <w:sz w:val="12"/>
                <w:szCs w:val="12"/>
              </w:rPr>
            </w:pPr>
          </w:p>
          <w:p w14:paraId="41E21143" w14:textId="441AA762" w:rsidR="00ED5D57" w:rsidRPr="00262D4E" w:rsidRDefault="00ED5D57" w:rsidP="00ED5D57">
            <w:pPr>
              <w:contextualSpacing/>
              <w:rPr>
                <w:rFonts w:ascii="Calibri" w:eastAsia="Calibri" w:hAnsi="Calibri" w:cs="Calibri"/>
                <w:sz w:val="12"/>
                <w:szCs w:val="12"/>
              </w:rPr>
            </w:pPr>
          </w:p>
        </w:tc>
        <w:tc>
          <w:tcPr>
            <w:tcW w:w="919" w:type="dxa"/>
          </w:tcPr>
          <w:p w14:paraId="18BD0292" w14:textId="77777777" w:rsidR="00E80CCC" w:rsidRPr="00262D4E" w:rsidRDefault="00E80CCC" w:rsidP="001A0069">
            <w:pPr>
              <w:jc w:val="center"/>
              <w:rPr>
                <w:rFonts w:ascii="Calibri" w:eastAsia="Calibri" w:hAnsi="Calibri" w:cs="Calibri"/>
              </w:rPr>
            </w:pPr>
          </w:p>
          <w:p w14:paraId="26185C9A" w14:textId="77777777" w:rsidR="00E80CCC" w:rsidRPr="00262D4E" w:rsidRDefault="00E80CCC" w:rsidP="001A0069">
            <w:pPr>
              <w:jc w:val="center"/>
              <w:rPr>
                <w:rFonts w:ascii="Calibri" w:eastAsia="Calibri" w:hAnsi="Calibri" w:cs="Calibri"/>
              </w:rPr>
            </w:pPr>
          </w:p>
          <w:p w14:paraId="0FA55751" w14:textId="77777777" w:rsidR="00E80CCC" w:rsidRPr="00262D4E" w:rsidRDefault="00E80CCC" w:rsidP="001A0069">
            <w:pPr>
              <w:jc w:val="center"/>
              <w:rPr>
                <w:rFonts w:ascii="Calibri" w:eastAsia="Calibri" w:hAnsi="Calibri" w:cs="Calibri"/>
              </w:rPr>
            </w:pPr>
            <w:r w:rsidRPr="00262D4E">
              <w:rPr>
                <w:rFonts w:ascii="Calibri" w:eastAsia="Calibri" w:hAnsi="Calibri" w:cs="Calibri"/>
              </w:rPr>
              <w:t>20</w:t>
            </w:r>
          </w:p>
        </w:tc>
      </w:tr>
      <w:tr w:rsidR="00E80CCC" w:rsidRPr="00262D4E" w14:paraId="32249B2F" w14:textId="77777777" w:rsidTr="00E80CCC">
        <w:tc>
          <w:tcPr>
            <w:tcW w:w="2044" w:type="dxa"/>
          </w:tcPr>
          <w:p w14:paraId="64D4CA4C" w14:textId="77777777" w:rsidR="00E80CCC" w:rsidRPr="00262D4E" w:rsidRDefault="00E80CCC" w:rsidP="001A0069">
            <w:pPr>
              <w:rPr>
                <w:rFonts w:ascii="Calibri" w:eastAsia="Calibri" w:hAnsi="Calibri" w:cs="Calibri"/>
              </w:rPr>
            </w:pPr>
            <w:r w:rsidRPr="00262D4E">
              <w:rPr>
                <w:rFonts w:ascii="Calibri" w:eastAsia="Calibri" w:hAnsi="Calibri" w:cs="Calibri"/>
              </w:rPr>
              <w:t>Human Capital Plan</w:t>
            </w:r>
          </w:p>
        </w:tc>
        <w:tc>
          <w:tcPr>
            <w:tcW w:w="6596" w:type="dxa"/>
          </w:tcPr>
          <w:p w14:paraId="5261ADD5" w14:textId="77777777" w:rsidR="00E80CCC" w:rsidRDefault="00E80CCC" w:rsidP="001A0069">
            <w:pPr>
              <w:rPr>
                <w:rFonts w:ascii="Calibri" w:eastAsia="Calibri" w:hAnsi="Calibri" w:cs="Calibri"/>
              </w:rPr>
            </w:pPr>
            <w:r w:rsidRPr="00262D4E">
              <w:rPr>
                <w:rFonts w:ascii="Calibri" w:eastAsia="Calibri" w:hAnsi="Calibri" w:cs="Calibri"/>
              </w:rPr>
              <w:t>Detailed Human Capital plans, with a significant commitment</w:t>
            </w:r>
            <w:r>
              <w:rPr>
                <w:rFonts w:ascii="Calibri" w:eastAsia="Calibri" w:hAnsi="Calibri" w:cs="Calibri"/>
              </w:rPr>
              <w:t xml:space="preserve"> to:</w:t>
            </w:r>
          </w:p>
          <w:p w14:paraId="0856B79F" w14:textId="77777777" w:rsidR="00E80CCC" w:rsidRDefault="00E80CCC" w:rsidP="00E80CCC">
            <w:pPr>
              <w:pStyle w:val="ListParagraph"/>
              <w:numPr>
                <w:ilvl w:val="4"/>
                <w:numId w:val="3"/>
              </w:numPr>
              <w:ind w:left="734"/>
              <w:rPr>
                <w:rFonts w:ascii="Calibri" w:eastAsia="Calibri" w:hAnsi="Calibri" w:cs="Calibri"/>
              </w:rPr>
            </w:pPr>
            <w:r w:rsidRPr="004219FC">
              <w:rPr>
                <w:rFonts w:ascii="Calibri" w:eastAsia="Calibri" w:hAnsi="Calibri" w:cs="Calibri"/>
              </w:rPr>
              <w:t>Human Capital goals noted in the Community Objectives</w:t>
            </w:r>
          </w:p>
          <w:p w14:paraId="01CF102E" w14:textId="77777777" w:rsidR="00E80CCC" w:rsidRDefault="00E80CCC" w:rsidP="00E80CCC">
            <w:pPr>
              <w:pStyle w:val="ListParagraph"/>
              <w:numPr>
                <w:ilvl w:val="4"/>
                <w:numId w:val="3"/>
              </w:numPr>
              <w:ind w:left="734"/>
              <w:rPr>
                <w:rFonts w:ascii="Calibri" w:eastAsia="Calibri" w:hAnsi="Calibri" w:cs="Calibri"/>
              </w:rPr>
            </w:pPr>
            <w:r>
              <w:rPr>
                <w:rFonts w:ascii="Calibri" w:eastAsia="Calibri" w:hAnsi="Calibri" w:cs="Calibri"/>
              </w:rPr>
              <w:t xml:space="preserve">Assisting resident attain and stay in good standing </w:t>
            </w:r>
          </w:p>
          <w:p w14:paraId="6384110B" w14:textId="77777777" w:rsidR="007C6ACC" w:rsidRDefault="00E80CCC" w:rsidP="001A0069">
            <w:pPr>
              <w:pStyle w:val="ListParagraph"/>
              <w:numPr>
                <w:ilvl w:val="4"/>
                <w:numId w:val="3"/>
              </w:numPr>
              <w:ind w:left="734"/>
              <w:rPr>
                <w:rFonts w:ascii="Calibri" w:eastAsia="Calibri" w:hAnsi="Calibri" w:cs="Calibri"/>
              </w:rPr>
            </w:pPr>
            <w:r>
              <w:rPr>
                <w:rFonts w:ascii="Calibri" w:eastAsia="Calibri" w:hAnsi="Calibri" w:cs="Calibri"/>
              </w:rPr>
              <w:t>A</w:t>
            </w:r>
            <w:r w:rsidRPr="00597FF9">
              <w:rPr>
                <w:rFonts w:ascii="Calibri" w:eastAsia="Calibri" w:hAnsi="Calibri" w:cs="Calibri"/>
              </w:rPr>
              <w:t xml:space="preserve">ppropriate and innovative services to help </w:t>
            </w:r>
            <w:r>
              <w:rPr>
                <w:rFonts w:ascii="Calibri" w:eastAsia="Calibri" w:hAnsi="Calibri" w:cs="Calibri"/>
              </w:rPr>
              <w:t xml:space="preserve">residents </w:t>
            </w:r>
            <w:r w:rsidRPr="00597FF9">
              <w:rPr>
                <w:rFonts w:ascii="Calibri" w:eastAsia="Calibri" w:hAnsi="Calibri" w:cs="Calibri"/>
              </w:rPr>
              <w:t>improve their lives through better health, education, and job security</w:t>
            </w:r>
            <w:r>
              <w:rPr>
                <w:rFonts w:ascii="Calibri" w:eastAsia="Calibri" w:hAnsi="Calibri" w:cs="Calibri"/>
              </w:rPr>
              <w:t xml:space="preserve"> </w:t>
            </w:r>
          </w:p>
          <w:p w14:paraId="6AF083BC" w14:textId="77777777" w:rsidR="007C6ACC" w:rsidRDefault="007C6ACC" w:rsidP="007C6ACC">
            <w:pPr>
              <w:pStyle w:val="ListParagraph"/>
              <w:ind w:left="734"/>
              <w:rPr>
                <w:rFonts w:ascii="Calibri" w:eastAsia="Calibri" w:hAnsi="Calibri" w:cs="Calibri"/>
                <w:sz w:val="12"/>
                <w:szCs w:val="12"/>
              </w:rPr>
            </w:pPr>
          </w:p>
          <w:p w14:paraId="32B14B83" w14:textId="5C8EBCDE" w:rsidR="007C6ACC" w:rsidRPr="007C6ACC" w:rsidRDefault="007C6ACC" w:rsidP="007C6ACC">
            <w:pPr>
              <w:pStyle w:val="ListParagraph"/>
              <w:ind w:left="734"/>
              <w:rPr>
                <w:rFonts w:ascii="Calibri" w:eastAsia="Calibri" w:hAnsi="Calibri" w:cs="Calibri"/>
                <w:sz w:val="12"/>
                <w:szCs w:val="12"/>
              </w:rPr>
            </w:pPr>
          </w:p>
        </w:tc>
        <w:tc>
          <w:tcPr>
            <w:tcW w:w="919" w:type="dxa"/>
          </w:tcPr>
          <w:p w14:paraId="56AAA06D" w14:textId="77777777" w:rsidR="00E80CCC" w:rsidRPr="00262D4E" w:rsidRDefault="00E80CCC" w:rsidP="001A0069">
            <w:pPr>
              <w:jc w:val="center"/>
              <w:rPr>
                <w:rFonts w:ascii="Calibri" w:eastAsia="Calibri" w:hAnsi="Calibri" w:cs="Calibri"/>
              </w:rPr>
            </w:pPr>
          </w:p>
          <w:p w14:paraId="6AD96C82" w14:textId="77777777" w:rsidR="00E80CCC" w:rsidRPr="00262D4E" w:rsidRDefault="00E80CCC" w:rsidP="001A0069">
            <w:pPr>
              <w:jc w:val="center"/>
              <w:rPr>
                <w:rFonts w:ascii="Calibri" w:eastAsia="Calibri" w:hAnsi="Calibri" w:cs="Calibri"/>
              </w:rPr>
            </w:pPr>
            <w:r>
              <w:rPr>
                <w:rFonts w:ascii="Calibri" w:eastAsia="Calibri" w:hAnsi="Calibri" w:cs="Calibri"/>
              </w:rPr>
              <w:t>10</w:t>
            </w:r>
          </w:p>
        </w:tc>
      </w:tr>
      <w:tr w:rsidR="00E80CCC" w:rsidRPr="00262D4E" w14:paraId="0FEE53EF" w14:textId="77777777" w:rsidTr="00E80CCC">
        <w:tc>
          <w:tcPr>
            <w:tcW w:w="2044" w:type="dxa"/>
          </w:tcPr>
          <w:p w14:paraId="4162198A" w14:textId="77777777" w:rsidR="00E80CCC" w:rsidRPr="00262D4E" w:rsidDel="003743BD" w:rsidRDefault="00E80CCC" w:rsidP="001A0069">
            <w:pPr>
              <w:rPr>
                <w:rFonts w:ascii="Calibri" w:eastAsia="Calibri" w:hAnsi="Calibri" w:cs="Calibri"/>
              </w:rPr>
            </w:pPr>
            <w:r>
              <w:rPr>
                <w:rFonts w:ascii="Calibri" w:eastAsia="Calibri" w:hAnsi="Calibri" w:cs="Calibri"/>
              </w:rPr>
              <w:t>Section 3 Plan</w:t>
            </w:r>
          </w:p>
        </w:tc>
        <w:tc>
          <w:tcPr>
            <w:tcW w:w="6596" w:type="dxa"/>
          </w:tcPr>
          <w:p w14:paraId="6B7A9733" w14:textId="77777777" w:rsidR="00E80CCC" w:rsidRDefault="00E80CCC" w:rsidP="001A0069">
            <w:pPr>
              <w:rPr>
                <w:rFonts w:ascii="Calibri" w:eastAsia="Calibri" w:hAnsi="Calibri" w:cs="Calibri"/>
              </w:rPr>
            </w:pPr>
            <w:r>
              <w:rPr>
                <w:rFonts w:ascii="Calibri" w:eastAsia="Calibri" w:hAnsi="Calibri" w:cs="Calibri"/>
              </w:rPr>
              <w:t>Detailed Section 3 Plan, outlining the Developer’s Plan to:</w:t>
            </w:r>
          </w:p>
          <w:p w14:paraId="59077816" w14:textId="77777777" w:rsidR="00E80CCC" w:rsidRDefault="00E80CCC" w:rsidP="00E80CCC">
            <w:pPr>
              <w:pStyle w:val="ListParagraph"/>
              <w:numPr>
                <w:ilvl w:val="1"/>
                <w:numId w:val="8"/>
              </w:numPr>
              <w:ind w:left="734"/>
              <w:rPr>
                <w:rFonts w:ascii="Calibri" w:eastAsia="Calibri" w:hAnsi="Calibri" w:cs="Calibri"/>
              </w:rPr>
            </w:pPr>
            <w:r>
              <w:rPr>
                <w:rFonts w:ascii="Calibri" w:eastAsia="Calibri" w:hAnsi="Calibri" w:cs="Calibri"/>
              </w:rPr>
              <w:t>C</w:t>
            </w:r>
            <w:r w:rsidRPr="004219FC">
              <w:rPr>
                <w:rFonts w:ascii="Calibri" w:eastAsia="Calibri" w:hAnsi="Calibri" w:cs="Calibri"/>
              </w:rPr>
              <w:t>reate employment and business opportunities for residents of the Housing Authority and other qualified low- and very low-income persons residing in Marin County</w:t>
            </w:r>
          </w:p>
          <w:p w14:paraId="0E96C7E0" w14:textId="77777777" w:rsidR="00E80CCC" w:rsidRPr="004219FC" w:rsidRDefault="00E80CCC" w:rsidP="00E80CCC">
            <w:pPr>
              <w:pStyle w:val="ListParagraph"/>
              <w:numPr>
                <w:ilvl w:val="1"/>
                <w:numId w:val="8"/>
              </w:numPr>
              <w:ind w:left="734"/>
              <w:rPr>
                <w:rFonts w:ascii="Calibri" w:eastAsia="Calibri" w:hAnsi="Calibri" w:cs="Calibri"/>
              </w:rPr>
            </w:pPr>
            <w:r>
              <w:rPr>
                <w:rFonts w:ascii="Calibri" w:eastAsia="Calibri" w:hAnsi="Calibri" w:cs="Calibri"/>
              </w:rPr>
              <w:t>A</w:t>
            </w:r>
            <w:r w:rsidRPr="004219FC">
              <w:rPr>
                <w:rFonts w:ascii="Calibri" w:eastAsia="Calibri" w:hAnsi="Calibri" w:cs="Calibri"/>
              </w:rPr>
              <w:t xml:space="preserve">id the Agency in complying with its goals as outlined in </w:t>
            </w:r>
            <w:r>
              <w:rPr>
                <w:rFonts w:ascii="Calibri" w:eastAsia="Calibri" w:hAnsi="Calibri" w:cs="Calibri"/>
              </w:rPr>
              <w:t>the Agency</w:t>
            </w:r>
            <w:r w:rsidRPr="004219FC">
              <w:rPr>
                <w:rFonts w:ascii="Calibri" w:eastAsia="Calibri" w:hAnsi="Calibri" w:cs="Calibri"/>
              </w:rPr>
              <w:t>’s Section 3 and D/WBE Policy.</w:t>
            </w:r>
          </w:p>
          <w:p w14:paraId="5A2AD73F" w14:textId="77777777" w:rsidR="00E80CCC" w:rsidRDefault="00E80CCC" w:rsidP="001A0069">
            <w:pPr>
              <w:rPr>
                <w:rFonts w:ascii="Calibri" w:eastAsia="Calibri" w:hAnsi="Calibri" w:cs="Calibri"/>
                <w:sz w:val="12"/>
                <w:szCs w:val="12"/>
              </w:rPr>
            </w:pPr>
          </w:p>
          <w:p w14:paraId="497E94B9" w14:textId="27FAC380" w:rsidR="007C6ACC" w:rsidRPr="007C6ACC" w:rsidRDefault="007C6ACC" w:rsidP="001A0069">
            <w:pPr>
              <w:rPr>
                <w:rFonts w:ascii="Calibri" w:eastAsia="Calibri" w:hAnsi="Calibri" w:cs="Calibri"/>
                <w:sz w:val="12"/>
                <w:szCs w:val="12"/>
              </w:rPr>
            </w:pPr>
          </w:p>
        </w:tc>
        <w:tc>
          <w:tcPr>
            <w:tcW w:w="919" w:type="dxa"/>
          </w:tcPr>
          <w:p w14:paraId="181C4777" w14:textId="77777777" w:rsidR="00E80CCC" w:rsidRPr="00262D4E" w:rsidRDefault="00E80CCC" w:rsidP="001A0069">
            <w:pPr>
              <w:jc w:val="center"/>
              <w:rPr>
                <w:rFonts w:ascii="Calibri" w:eastAsia="Calibri" w:hAnsi="Calibri" w:cs="Calibri"/>
              </w:rPr>
            </w:pPr>
            <w:r>
              <w:rPr>
                <w:rFonts w:ascii="Calibri" w:eastAsia="Calibri" w:hAnsi="Calibri" w:cs="Calibri"/>
              </w:rPr>
              <w:t>5</w:t>
            </w:r>
          </w:p>
        </w:tc>
      </w:tr>
      <w:tr w:rsidR="00E80CCC" w:rsidRPr="004A51C2" w14:paraId="5B4E36BE" w14:textId="77777777" w:rsidTr="007C6ACC">
        <w:trPr>
          <w:trHeight w:val="368"/>
        </w:trPr>
        <w:tc>
          <w:tcPr>
            <w:tcW w:w="8640" w:type="dxa"/>
            <w:gridSpan w:val="2"/>
          </w:tcPr>
          <w:p w14:paraId="4516B80A" w14:textId="77777777" w:rsidR="00E80CCC" w:rsidRPr="004A51C2" w:rsidRDefault="00E80CCC" w:rsidP="001A0069">
            <w:pPr>
              <w:rPr>
                <w:rFonts w:ascii="Calibri" w:eastAsia="Calibri" w:hAnsi="Calibri" w:cs="Calibri"/>
                <w:b/>
              </w:rPr>
            </w:pPr>
            <w:r w:rsidRPr="004A51C2">
              <w:rPr>
                <w:rFonts w:ascii="Calibri" w:eastAsia="Calibri" w:hAnsi="Calibri" w:cs="Calibri"/>
                <w:b/>
              </w:rPr>
              <w:t>Total Points</w:t>
            </w:r>
          </w:p>
        </w:tc>
        <w:tc>
          <w:tcPr>
            <w:tcW w:w="919" w:type="dxa"/>
          </w:tcPr>
          <w:p w14:paraId="139F24AA" w14:textId="77777777" w:rsidR="00E80CCC" w:rsidRPr="004A51C2" w:rsidRDefault="00E80CCC" w:rsidP="001A0069">
            <w:pPr>
              <w:jc w:val="center"/>
              <w:rPr>
                <w:rFonts w:ascii="Calibri" w:eastAsia="Calibri" w:hAnsi="Calibri" w:cs="Calibri"/>
                <w:b/>
              </w:rPr>
            </w:pPr>
            <w:r w:rsidRPr="004A51C2">
              <w:rPr>
                <w:rFonts w:ascii="Calibri" w:eastAsia="Calibri" w:hAnsi="Calibri" w:cs="Calibri"/>
                <w:b/>
              </w:rPr>
              <w:t>105</w:t>
            </w:r>
          </w:p>
        </w:tc>
      </w:tr>
      <w:tr w:rsidR="00E80CCC" w:rsidRPr="00262D4E" w14:paraId="55B1284A" w14:textId="77777777" w:rsidTr="007C6ACC">
        <w:trPr>
          <w:trHeight w:val="350"/>
        </w:trPr>
        <w:tc>
          <w:tcPr>
            <w:tcW w:w="9559" w:type="dxa"/>
            <w:gridSpan w:val="3"/>
            <w:shd w:val="clear" w:color="auto" w:fill="D9D9D9" w:themeFill="background1" w:themeFillShade="D9"/>
          </w:tcPr>
          <w:p w14:paraId="6296FE93" w14:textId="77777777" w:rsidR="00E80CCC" w:rsidRDefault="00E80CCC" w:rsidP="001A0069">
            <w:pPr>
              <w:jc w:val="center"/>
              <w:rPr>
                <w:rFonts w:ascii="Calibri" w:eastAsia="Calibri" w:hAnsi="Calibri" w:cs="Calibri"/>
              </w:rPr>
            </w:pPr>
            <w:r>
              <w:rPr>
                <w:rFonts w:ascii="Calibri" w:eastAsia="Calibri" w:hAnsi="Calibri" w:cs="Calibri"/>
              </w:rPr>
              <w:t>SECOND PHASE OF PROPOSAL REVIEW – FOR INTERVIEWED RESPONDENTS ONLY</w:t>
            </w:r>
          </w:p>
        </w:tc>
      </w:tr>
      <w:tr w:rsidR="00E80CCC" w:rsidRPr="00262D4E" w14:paraId="104B11A2" w14:textId="77777777" w:rsidTr="00E80CCC">
        <w:trPr>
          <w:trHeight w:val="755"/>
        </w:trPr>
        <w:tc>
          <w:tcPr>
            <w:tcW w:w="2044" w:type="dxa"/>
          </w:tcPr>
          <w:p w14:paraId="08638563" w14:textId="77777777" w:rsidR="00E80CCC" w:rsidRPr="00AC172F" w:rsidRDefault="00E80CCC" w:rsidP="001A0069">
            <w:pPr>
              <w:rPr>
                <w:rFonts w:ascii="Calibri" w:eastAsia="Calibri" w:hAnsi="Calibri" w:cs="Calibri"/>
              </w:rPr>
            </w:pPr>
            <w:r>
              <w:rPr>
                <w:rFonts w:ascii="Calibri" w:eastAsia="Calibri" w:hAnsi="Calibri" w:cs="Calibri"/>
              </w:rPr>
              <w:t>Business Terms</w:t>
            </w:r>
          </w:p>
        </w:tc>
        <w:tc>
          <w:tcPr>
            <w:tcW w:w="6596" w:type="dxa"/>
          </w:tcPr>
          <w:p w14:paraId="6D00ED05" w14:textId="586ED942" w:rsidR="00E80CCC" w:rsidRPr="00AC172F" w:rsidRDefault="00E80CCC" w:rsidP="001A0069">
            <w:pPr>
              <w:rPr>
                <w:rFonts w:ascii="Calibri" w:eastAsia="Calibri" w:hAnsi="Calibri" w:cs="Calibri"/>
              </w:rPr>
            </w:pPr>
            <w:r>
              <w:rPr>
                <w:rFonts w:ascii="Calibri" w:hAnsi="Calibri"/>
              </w:rPr>
              <w:t>Re</w:t>
            </w:r>
            <w:r w:rsidRPr="00AC172F">
              <w:rPr>
                <w:rFonts w:ascii="Calibri" w:hAnsi="Calibri"/>
              </w:rPr>
              <w:t>asonableness of proposed business terms, fee structure, cost sharing, and fee sharing</w:t>
            </w:r>
            <w:r w:rsidR="00E14019">
              <w:rPr>
                <w:rFonts w:ascii="Calibri" w:hAnsi="Calibri"/>
              </w:rPr>
              <w:t>.</w:t>
            </w:r>
          </w:p>
        </w:tc>
        <w:tc>
          <w:tcPr>
            <w:tcW w:w="919" w:type="dxa"/>
          </w:tcPr>
          <w:p w14:paraId="5791D2A6" w14:textId="77777777" w:rsidR="00E80CCC" w:rsidRDefault="00E80CCC" w:rsidP="001A0069">
            <w:pPr>
              <w:jc w:val="center"/>
              <w:rPr>
                <w:rFonts w:ascii="Calibri" w:eastAsia="Calibri" w:hAnsi="Calibri" w:cs="Calibri"/>
              </w:rPr>
            </w:pPr>
            <w:r>
              <w:rPr>
                <w:rFonts w:ascii="Calibri" w:eastAsia="Calibri" w:hAnsi="Calibri" w:cs="Calibri"/>
              </w:rPr>
              <w:t>20</w:t>
            </w:r>
          </w:p>
        </w:tc>
      </w:tr>
      <w:tr w:rsidR="00E80CCC" w:rsidRPr="004A51C2" w14:paraId="3B089CD2" w14:textId="77777777" w:rsidTr="007C6ACC">
        <w:trPr>
          <w:trHeight w:val="377"/>
        </w:trPr>
        <w:tc>
          <w:tcPr>
            <w:tcW w:w="8640" w:type="dxa"/>
            <w:gridSpan w:val="2"/>
          </w:tcPr>
          <w:p w14:paraId="2AF039D6" w14:textId="77777777" w:rsidR="00E80CCC" w:rsidRPr="004A51C2" w:rsidRDefault="00E80CCC" w:rsidP="001A0069">
            <w:pPr>
              <w:rPr>
                <w:rFonts w:ascii="Calibri" w:hAnsi="Calibri"/>
                <w:b/>
              </w:rPr>
            </w:pPr>
            <w:r w:rsidRPr="004A51C2">
              <w:rPr>
                <w:rFonts w:ascii="Calibri" w:eastAsia="Calibri" w:hAnsi="Calibri" w:cs="Calibri"/>
                <w:b/>
              </w:rPr>
              <w:t>Total Points</w:t>
            </w:r>
          </w:p>
        </w:tc>
        <w:tc>
          <w:tcPr>
            <w:tcW w:w="919" w:type="dxa"/>
          </w:tcPr>
          <w:p w14:paraId="5CE7933E" w14:textId="77777777" w:rsidR="00E80CCC" w:rsidRPr="004A51C2" w:rsidRDefault="00E80CCC" w:rsidP="001A0069">
            <w:pPr>
              <w:jc w:val="center"/>
              <w:rPr>
                <w:rFonts w:ascii="Calibri" w:eastAsia="Calibri" w:hAnsi="Calibri" w:cs="Calibri"/>
                <w:b/>
              </w:rPr>
            </w:pPr>
            <w:r w:rsidRPr="004A51C2">
              <w:rPr>
                <w:rFonts w:ascii="Calibri" w:eastAsia="Calibri" w:hAnsi="Calibri" w:cs="Calibri"/>
                <w:b/>
              </w:rPr>
              <w:t>125</w:t>
            </w:r>
          </w:p>
        </w:tc>
      </w:tr>
    </w:tbl>
    <w:p w14:paraId="508AD802" w14:textId="798D9E7D" w:rsidR="00E80CCC" w:rsidRDefault="00E80CCC" w:rsidP="00BC391C">
      <w:pPr>
        <w:pStyle w:val="ListParagraph"/>
        <w:ind w:left="810"/>
        <w:rPr>
          <w:rFonts w:asciiTheme="majorHAnsi" w:hAnsiTheme="majorHAnsi"/>
          <w:b/>
        </w:rPr>
      </w:pPr>
    </w:p>
    <w:p w14:paraId="4906127A" w14:textId="77777777" w:rsidR="00E80CCC" w:rsidRDefault="00E80CCC" w:rsidP="00BC391C">
      <w:pPr>
        <w:pStyle w:val="ListParagraph"/>
        <w:ind w:left="810"/>
        <w:rPr>
          <w:rFonts w:asciiTheme="majorHAnsi" w:hAnsiTheme="majorHAnsi"/>
          <w:b/>
        </w:rPr>
      </w:pPr>
    </w:p>
    <w:p w14:paraId="0EF195D5" w14:textId="2F91A1BA" w:rsidR="00BC391C" w:rsidRDefault="00BC391C" w:rsidP="00BC391C">
      <w:pPr>
        <w:pStyle w:val="ListParagraph"/>
        <w:numPr>
          <w:ilvl w:val="0"/>
          <w:numId w:val="2"/>
        </w:numPr>
        <w:ind w:left="360"/>
        <w:rPr>
          <w:rFonts w:asciiTheme="majorHAnsi" w:hAnsiTheme="majorHAnsi"/>
        </w:rPr>
      </w:pPr>
      <w:r w:rsidRPr="00BC391C">
        <w:rPr>
          <w:rFonts w:asciiTheme="majorHAnsi" w:hAnsiTheme="majorHAnsi"/>
          <w:b/>
        </w:rPr>
        <w:t>Review each proposal.</w:t>
      </w:r>
      <w:r>
        <w:rPr>
          <w:rFonts w:asciiTheme="majorHAnsi" w:hAnsiTheme="majorHAnsi"/>
        </w:rPr>
        <w:t xml:space="preserve">  Review each of the proposals </w:t>
      </w:r>
      <w:r w:rsidR="000D2507" w:rsidRPr="000D2507">
        <w:rPr>
          <w:rFonts w:asciiTheme="majorHAnsi" w:hAnsiTheme="majorHAnsi"/>
        </w:rPr>
        <w:t xml:space="preserve">and use the evaluation form to note key information and questions about the responses and to provide an initial </w:t>
      </w:r>
      <w:r w:rsidR="00E14019">
        <w:rPr>
          <w:rFonts w:asciiTheme="majorHAnsi" w:hAnsiTheme="majorHAnsi"/>
        </w:rPr>
        <w:t xml:space="preserve">draft </w:t>
      </w:r>
      <w:r w:rsidR="000D2507" w:rsidRPr="000D2507">
        <w:rPr>
          <w:rFonts w:asciiTheme="majorHAnsi" w:hAnsiTheme="majorHAnsi"/>
        </w:rPr>
        <w:t>score based on the RFQ criteria.</w:t>
      </w:r>
      <w:r w:rsidR="00555B1F">
        <w:rPr>
          <w:rFonts w:asciiTheme="majorHAnsi" w:hAnsiTheme="majorHAnsi"/>
        </w:rPr>
        <w:t xml:space="preserve"> </w:t>
      </w:r>
      <w:r w:rsidR="00555B1F" w:rsidRPr="00555B1F">
        <w:rPr>
          <w:rFonts w:asciiTheme="majorHAnsi" w:hAnsiTheme="majorHAnsi"/>
        </w:rPr>
        <w:t xml:space="preserve">The HUD Procurement Handbook states that when evaluators score a submittal: </w:t>
      </w:r>
      <w:r w:rsidR="00555B1F" w:rsidRPr="00555B1F">
        <w:rPr>
          <w:rFonts w:asciiTheme="majorHAnsi" w:hAnsiTheme="majorHAnsi"/>
          <w:i/>
        </w:rPr>
        <w:t>“A narrative should accompany the scores to explain how the scores were derived, detailing the significant strengths, weaknesses, and deficiencies in the proposal. The level of detail for the evaluation report will be influenced by the complexity of the procurement, with more complex procurements likely requiring more detailed reports.”</w:t>
      </w:r>
      <w:r w:rsidR="00555B1F" w:rsidRPr="00555B1F">
        <w:rPr>
          <w:rFonts w:asciiTheme="majorHAnsi" w:hAnsiTheme="majorHAnsi"/>
        </w:rPr>
        <w:t xml:space="preserve"> Thes</w:t>
      </w:r>
      <w:r w:rsidR="002611FD">
        <w:rPr>
          <w:rFonts w:asciiTheme="majorHAnsi" w:hAnsiTheme="majorHAnsi"/>
        </w:rPr>
        <w:t>e</w:t>
      </w:r>
      <w:r w:rsidR="00555B1F">
        <w:rPr>
          <w:rFonts w:asciiTheme="majorHAnsi" w:hAnsiTheme="majorHAnsi"/>
        </w:rPr>
        <w:t xml:space="preserve"> Evaluation F</w:t>
      </w:r>
      <w:r w:rsidR="00555B1F" w:rsidRPr="00555B1F">
        <w:rPr>
          <w:rFonts w:asciiTheme="majorHAnsi" w:hAnsiTheme="majorHAnsi"/>
        </w:rPr>
        <w:t>orms must be completed fully, and you must detail the “significant strengths, weaknesses and deficiencies” you identified in the proposal to support your scoring. All information entered must be provided clearly and in a legible manner</w:t>
      </w:r>
      <w:r w:rsidR="00556CD7">
        <w:rPr>
          <w:rFonts w:asciiTheme="majorHAnsi" w:hAnsiTheme="majorHAnsi"/>
        </w:rPr>
        <w:t>.</w:t>
      </w:r>
    </w:p>
    <w:p w14:paraId="6351AACD" w14:textId="77777777" w:rsidR="002611FD" w:rsidRDefault="002611FD" w:rsidP="002611FD">
      <w:pPr>
        <w:rPr>
          <w:rFonts w:asciiTheme="majorHAnsi" w:hAnsiTheme="majorHAnsi"/>
        </w:rPr>
      </w:pPr>
    </w:p>
    <w:p w14:paraId="3DCB386D" w14:textId="77777777" w:rsidR="002611FD" w:rsidRDefault="002611FD" w:rsidP="002611FD">
      <w:pPr>
        <w:rPr>
          <w:rFonts w:asciiTheme="majorHAnsi" w:hAnsiTheme="majorHAnsi"/>
        </w:rPr>
      </w:pPr>
    </w:p>
    <w:p w14:paraId="38408DBB" w14:textId="77777777" w:rsidR="002611FD" w:rsidRDefault="002611FD" w:rsidP="002611FD">
      <w:pPr>
        <w:rPr>
          <w:rFonts w:asciiTheme="majorHAnsi" w:hAnsiTheme="majorHAnsi"/>
        </w:rPr>
      </w:pPr>
    </w:p>
    <w:p w14:paraId="1F8A1A80" w14:textId="77777777" w:rsidR="002611FD" w:rsidRDefault="002611FD" w:rsidP="002611FD">
      <w:pPr>
        <w:rPr>
          <w:rFonts w:asciiTheme="majorHAnsi" w:hAnsiTheme="majorHAnsi"/>
        </w:rPr>
      </w:pPr>
    </w:p>
    <w:p w14:paraId="56479C21" w14:textId="77777777" w:rsidR="002611FD" w:rsidRDefault="002611FD" w:rsidP="002611FD">
      <w:pPr>
        <w:rPr>
          <w:rFonts w:asciiTheme="majorHAnsi" w:hAnsiTheme="majorHAnsi"/>
        </w:rPr>
      </w:pPr>
    </w:p>
    <w:p w14:paraId="143D8BD6" w14:textId="77777777" w:rsidR="002611FD" w:rsidRPr="002611FD" w:rsidRDefault="002611FD" w:rsidP="002611FD">
      <w:pPr>
        <w:rPr>
          <w:rFonts w:asciiTheme="majorHAnsi" w:hAnsiTheme="majorHAnsi"/>
        </w:rPr>
      </w:pPr>
    </w:p>
    <w:p w14:paraId="0EF195D6" w14:textId="77777777" w:rsidR="00BC391C" w:rsidRDefault="00BC391C" w:rsidP="00BC391C">
      <w:pPr>
        <w:pStyle w:val="ListParagraph"/>
        <w:ind w:left="360"/>
        <w:rPr>
          <w:rFonts w:asciiTheme="majorHAnsi" w:hAnsiTheme="majorHAnsi"/>
        </w:rPr>
      </w:pPr>
    </w:p>
    <w:p w14:paraId="21F534F8" w14:textId="0FA3CACC" w:rsidR="00556CD7" w:rsidRDefault="00B73EBC" w:rsidP="00BC391C">
      <w:pPr>
        <w:pStyle w:val="ListParagraph"/>
        <w:numPr>
          <w:ilvl w:val="0"/>
          <w:numId w:val="2"/>
        </w:numPr>
        <w:ind w:left="360"/>
        <w:rPr>
          <w:rFonts w:asciiTheme="majorHAnsi" w:hAnsiTheme="majorHAnsi"/>
        </w:rPr>
      </w:pPr>
      <w:r w:rsidRPr="00B73EBC">
        <w:rPr>
          <w:rFonts w:asciiTheme="majorHAnsi" w:hAnsiTheme="majorHAnsi"/>
          <w:b/>
        </w:rPr>
        <w:t xml:space="preserve">Evaluation Committee </w:t>
      </w:r>
      <w:r w:rsidR="00A56F2B">
        <w:rPr>
          <w:rFonts w:asciiTheme="majorHAnsi" w:hAnsiTheme="majorHAnsi"/>
          <w:b/>
        </w:rPr>
        <w:t xml:space="preserve">(EC) </w:t>
      </w:r>
      <w:r w:rsidRPr="00B73EBC">
        <w:rPr>
          <w:rFonts w:asciiTheme="majorHAnsi" w:hAnsiTheme="majorHAnsi"/>
          <w:b/>
        </w:rPr>
        <w:t>Round 1 Scoring</w:t>
      </w:r>
      <w:r w:rsidR="00702A1D">
        <w:rPr>
          <w:rFonts w:asciiTheme="majorHAnsi" w:hAnsiTheme="majorHAnsi"/>
          <w:b/>
        </w:rPr>
        <w:t xml:space="preserve"> </w:t>
      </w:r>
    </w:p>
    <w:p w14:paraId="058BB4ED" w14:textId="77777777" w:rsidR="00A56F2B" w:rsidRPr="00A56F2B" w:rsidRDefault="00A56F2B" w:rsidP="00A56F2B">
      <w:pPr>
        <w:pStyle w:val="ListParagraph"/>
        <w:rPr>
          <w:rFonts w:asciiTheme="majorHAnsi" w:hAnsiTheme="majorHAnsi"/>
        </w:rPr>
      </w:pPr>
    </w:p>
    <w:p w14:paraId="6F35EC3D" w14:textId="518B1B1A" w:rsidR="00A56F2B" w:rsidRDefault="00702A1D" w:rsidP="00A56F2B">
      <w:pPr>
        <w:pStyle w:val="ListParagraph"/>
        <w:numPr>
          <w:ilvl w:val="1"/>
          <w:numId w:val="2"/>
        </w:numPr>
        <w:ind w:left="720"/>
        <w:rPr>
          <w:rFonts w:asciiTheme="majorHAnsi" w:hAnsiTheme="majorHAnsi"/>
        </w:rPr>
      </w:pPr>
      <w:r>
        <w:rPr>
          <w:rFonts w:asciiTheme="majorHAnsi" w:hAnsiTheme="majorHAnsi"/>
        </w:rPr>
        <w:t>After each EC member reviews the proposals and scores the</w:t>
      </w:r>
      <w:r w:rsidR="002611FD">
        <w:rPr>
          <w:rFonts w:asciiTheme="majorHAnsi" w:hAnsiTheme="majorHAnsi"/>
        </w:rPr>
        <w:t xml:space="preserve"> proposals</w:t>
      </w:r>
      <w:r>
        <w:rPr>
          <w:rFonts w:asciiTheme="majorHAnsi" w:hAnsiTheme="majorHAnsi"/>
        </w:rPr>
        <w:t xml:space="preserve"> individually, t</w:t>
      </w:r>
      <w:r w:rsidR="00A56F2B" w:rsidRPr="00A56F2B">
        <w:rPr>
          <w:rFonts w:asciiTheme="majorHAnsi" w:hAnsiTheme="majorHAnsi"/>
        </w:rPr>
        <w:t xml:space="preserve">he EC will then meet to discuss their preliminary individual scores and </w:t>
      </w:r>
      <w:r w:rsidR="00E14019">
        <w:rPr>
          <w:rFonts w:asciiTheme="majorHAnsi" w:hAnsiTheme="majorHAnsi"/>
        </w:rPr>
        <w:t>thoughts</w:t>
      </w:r>
      <w:r w:rsidR="00E14019" w:rsidRPr="00A56F2B">
        <w:rPr>
          <w:rFonts w:asciiTheme="majorHAnsi" w:hAnsiTheme="majorHAnsi"/>
        </w:rPr>
        <w:t xml:space="preserve"> </w:t>
      </w:r>
      <w:r w:rsidR="00A56F2B" w:rsidRPr="00A56F2B">
        <w:rPr>
          <w:rFonts w:asciiTheme="majorHAnsi" w:hAnsiTheme="majorHAnsi"/>
        </w:rPr>
        <w:t xml:space="preserve">on the proposals.  This is expected to be an educational process for EC members as </w:t>
      </w:r>
      <w:r w:rsidR="00A56F2B">
        <w:rPr>
          <w:rFonts w:asciiTheme="majorHAnsi" w:hAnsiTheme="majorHAnsi"/>
        </w:rPr>
        <w:t>everyone</w:t>
      </w:r>
      <w:r w:rsidR="00E514B4">
        <w:rPr>
          <w:rFonts w:asciiTheme="majorHAnsi" w:hAnsiTheme="majorHAnsi"/>
        </w:rPr>
        <w:t xml:space="preserve"> provides their thoughts on each proposer and </w:t>
      </w:r>
      <w:r w:rsidR="00A56F2B" w:rsidRPr="00A56F2B">
        <w:rPr>
          <w:rFonts w:asciiTheme="majorHAnsi" w:hAnsiTheme="majorHAnsi"/>
        </w:rPr>
        <w:t>listens to others who bring different and unique perspectives to the review process.</w:t>
      </w:r>
      <w:r w:rsidR="002611FD">
        <w:rPr>
          <w:rFonts w:asciiTheme="majorHAnsi" w:hAnsiTheme="majorHAnsi"/>
        </w:rPr>
        <w:t xml:space="preserve"> </w:t>
      </w:r>
    </w:p>
    <w:p w14:paraId="51964722" w14:textId="77777777" w:rsidR="00C710CD" w:rsidRPr="00A56F2B" w:rsidRDefault="00C710CD" w:rsidP="00C710CD">
      <w:pPr>
        <w:pStyle w:val="ListParagraph"/>
        <w:rPr>
          <w:rFonts w:asciiTheme="majorHAnsi" w:hAnsiTheme="majorHAnsi"/>
        </w:rPr>
      </w:pPr>
    </w:p>
    <w:p w14:paraId="07035C4B" w14:textId="732625F6" w:rsidR="002611FD" w:rsidRDefault="00E14019" w:rsidP="00A56F2B">
      <w:pPr>
        <w:pStyle w:val="ListParagraph"/>
        <w:numPr>
          <w:ilvl w:val="1"/>
          <w:numId w:val="2"/>
        </w:numPr>
        <w:ind w:left="720"/>
        <w:rPr>
          <w:rFonts w:asciiTheme="majorHAnsi" w:hAnsiTheme="majorHAnsi"/>
        </w:rPr>
      </w:pPr>
      <w:r>
        <w:rPr>
          <w:rFonts w:asciiTheme="majorHAnsi" w:hAnsiTheme="majorHAnsi"/>
        </w:rPr>
        <w:t>After the conclusion of the</w:t>
      </w:r>
      <w:r w:rsidR="002611FD">
        <w:rPr>
          <w:rFonts w:asciiTheme="majorHAnsi" w:hAnsiTheme="majorHAnsi"/>
        </w:rPr>
        <w:t xml:space="preserve"> discussion, EC members will have the opportunity to adjust </w:t>
      </w:r>
      <w:r>
        <w:rPr>
          <w:rFonts w:asciiTheme="majorHAnsi" w:hAnsiTheme="majorHAnsi"/>
        </w:rPr>
        <w:t xml:space="preserve">and finalize </w:t>
      </w:r>
      <w:r w:rsidR="002611FD">
        <w:rPr>
          <w:rFonts w:asciiTheme="majorHAnsi" w:hAnsiTheme="majorHAnsi"/>
        </w:rPr>
        <w:t xml:space="preserve">their scores and narrative comments to reflect any changes in their </w:t>
      </w:r>
      <w:r>
        <w:rPr>
          <w:rFonts w:asciiTheme="majorHAnsi" w:hAnsiTheme="majorHAnsi"/>
        </w:rPr>
        <w:t>opinion</w:t>
      </w:r>
      <w:r w:rsidR="002611FD">
        <w:rPr>
          <w:rFonts w:asciiTheme="majorHAnsi" w:hAnsiTheme="majorHAnsi"/>
        </w:rPr>
        <w:t xml:space="preserve"> of the proposals</w:t>
      </w:r>
      <w:r>
        <w:rPr>
          <w:rFonts w:asciiTheme="majorHAnsi" w:hAnsiTheme="majorHAnsi"/>
        </w:rPr>
        <w:t xml:space="preserve"> as a result of the discussion</w:t>
      </w:r>
      <w:r w:rsidR="002611FD">
        <w:rPr>
          <w:rFonts w:asciiTheme="majorHAnsi" w:hAnsiTheme="majorHAnsi"/>
        </w:rPr>
        <w:t xml:space="preserve">.  </w:t>
      </w:r>
      <w:r>
        <w:rPr>
          <w:rFonts w:asciiTheme="majorHAnsi" w:hAnsiTheme="majorHAnsi"/>
        </w:rPr>
        <w:t xml:space="preserve">All EC members’ evaluations will be collected and tabulated by the Procurement Officer into a single compiled scoring sheet. </w:t>
      </w:r>
    </w:p>
    <w:p w14:paraId="0F275FE8" w14:textId="77777777" w:rsidR="00E514B4" w:rsidRPr="00A56F2B" w:rsidRDefault="00E514B4" w:rsidP="00E514B4">
      <w:pPr>
        <w:pStyle w:val="ListParagraph"/>
        <w:rPr>
          <w:rFonts w:asciiTheme="majorHAnsi" w:hAnsiTheme="majorHAnsi"/>
        </w:rPr>
      </w:pPr>
    </w:p>
    <w:p w14:paraId="6DA05DAB" w14:textId="47CDA4E2" w:rsidR="00A56F2B" w:rsidRPr="00D2747F" w:rsidRDefault="00A56F2B" w:rsidP="00A56F2B">
      <w:pPr>
        <w:pStyle w:val="ListParagraph"/>
        <w:numPr>
          <w:ilvl w:val="1"/>
          <w:numId w:val="2"/>
        </w:numPr>
        <w:ind w:left="720"/>
        <w:rPr>
          <w:rFonts w:asciiTheme="majorHAnsi" w:hAnsiTheme="majorHAnsi" w:cstheme="majorHAnsi"/>
        </w:rPr>
      </w:pPr>
      <w:r w:rsidRPr="00D2747F">
        <w:rPr>
          <w:rFonts w:asciiTheme="majorHAnsi" w:hAnsiTheme="majorHAnsi" w:cstheme="majorHAnsi"/>
        </w:rPr>
        <w:t xml:space="preserve">References will not be fully completed at this stage so no points </w:t>
      </w:r>
      <w:r w:rsidR="00514372">
        <w:rPr>
          <w:rFonts w:asciiTheme="majorHAnsi" w:hAnsiTheme="majorHAnsi" w:cstheme="majorHAnsi"/>
        </w:rPr>
        <w:t xml:space="preserve">for references </w:t>
      </w:r>
      <w:r w:rsidRPr="00D2747F">
        <w:rPr>
          <w:rFonts w:asciiTheme="majorHAnsi" w:hAnsiTheme="majorHAnsi" w:cstheme="majorHAnsi"/>
        </w:rPr>
        <w:t xml:space="preserve">will be </w:t>
      </w:r>
      <w:r w:rsidR="005B53FD">
        <w:rPr>
          <w:rFonts w:asciiTheme="majorHAnsi" w:hAnsiTheme="majorHAnsi" w:cstheme="majorHAnsi"/>
        </w:rPr>
        <w:t>awarded by the EC</w:t>
      </w:r>
      <w:r w:rsidR="00D568FE">
        <w:rPr>
          <w:rFonts w:asciiTheme="majorHAnsi" w:hAnsiTheme="majorHAnsi" w:cstheme="majorHAnsi"/>
        </w:rPr>
        <w:t>.</w:t>
      </w:r>
      <w:r w:rsidR="00C0000C">
        <w:rPr>
          <w:rFonts w:asciiTheme="majorHAnsi" w:hAnsiTheme="majorHAnsi" w:cstheme="majorHAnsi"/>
        </w:rPr>
        <w:t xml:space="preserve"> </w:t>
      </w:r>
      <w:r w:rsidR="0090252F">
        <w:rPr>
          <w:rFonts w:asciiTheme="majorHAnsi" w:hAnsiTheme="majorHAnsi" w:cstheme="majorHAnsi"/>
        </w:rPr>
        <w:t xml:space="preserve">The references are included under the Experience section and will entail three (3) points of the overall twenty (20) points. </w:t>
      </w:r>
    </w:p>
    <w:p w14:paraId="60F620F0" w14:textId="77777777" w:rsidR="00E514B4" w:rsidRPr="00D2747F" w:rsidRDefault="00E514B4" w:rsidP="00E514B4">
      <w:pPr>
        <w:rPr>
          <w:rFonts w:asciiTheme="majorHAnsi" w:hAnsiTheme="majorHAnsi" w:cstheme="majorHAnsi"/>
        </w:rPr>
      </w:pPr>
    </w:p>
    <w:p w14:paraId="555AD8CB" w14:textId="226CA39B" w:rsidR="00E14019" w:rsidRDefault="00A56F2B" w:rsidP="00A56F2B">
      <w:pPr>
        <w:pStyle w:val="ListParagraph"/>
        <w:numPr>
          <w:ilvl w:val="1"/>
          <w:numId w:val="2"/>
        </w:numPr>
        <w:ind w:left="720"/>
        <w:rPr>
          <w:rFonts w:asciiTheme="majorHAnsi" w:hAnsiTheme="majorHAnsi" w:cstheme="majorHAnsi"/>
        </w:rPr>
      </w:pPr>
      <w:r w:rsidRPr="00D2747F">
        <w:rPr>
          <w:rFonts w:asciiTheme="majorHAnsi" w:hAnsiTheme="majorHAnsi" w:cstheme="majorHAnsi"/>
        </w:rPr>
        <w:t xml:space="preserve">The EC </w:t>
      </w:r>
      <w:r w:rsidR="001B60CA">
        <w:rPr>
          <w:rFonts w:asciiTheme="majorHAnsi" w:hAnsiTheme="majorHAnsi" w:cstheme="majorHAnsi"/>
        </w:rPr>
        <w:t>combined</w:t>
      </w:r>
      <w:r w:rsidRPr="00D2747F">
        <w:rPr>
          <w:rFonts w:asciiTheme="majorHAnsi" w:hAnsiTheme="majorHAnsi" w:cstheme="majorHAnsi"/>
        </w:rPr>
        <w:t xml:space="preserve"> scores for each proposer will be ranked from highest to lowest and the EC will determine </w:t>
      </w:r>
      <w:r w:rsidR="00E14019">
        <w:rPr>
          <w:rFonts w:asciiTheme="majorHAnsi" w:hAnsiTheme="majorHAnsi" w:cstheme="majorHAnsi"/>
        </w:rPr>
        <w:t>the</w:t>
      </w:r>
      <w:r w:rsidRPr="00D2747F">
        <w:rPr>
          <w:rFonts w:asciiTheme="majorHAnsi" w:hAnsiTheme="majorHAnsi" w:cstheme="majorHAnsi"/>
        </w:rPr>
        <w:t xml:space="preserve"> competitive range of proposers who should participate in the </w:t>
      </w:r>
      <w:r w:rsidR="00E514B4" w:rsidRPr="00D2747F">
        <w:rPr>
          <w:rFonts w:asciiTheme="majorHAnsi" w:hAnsiTheme="majorHAnsi" w:cstheme="majorHAnsi"/>
        </w:rPr>
        <w:t>Round 2</w:t>
      </w:r>
      <w:r w:rsidRPr="00D2747F">
        <w:rPr>
          <w:rFonts w:asciiTheme="majorHAnsi" w:hAnsiTheme="majorHAnsi" w:cstheme="majorHAnsi"/>
        </w:rPr>
        <w:t xml:space="preserve"> formal interviews.  </w:t>
      </w:r>
    </w:p>
    <w:p w14:paraId="6503F657" w14:textId="77777777" w:rsidR="00E14019" w:rsidRDefault="00E14019" w:rsidP="0090252F">
      <w:pPr>
        <w:pStyle w:val="ListParagraph"/>
        <w:rPr>
          <w:rFonts w:asciiTheme="majorHAnsi" w:hAnsiTheme="majorHAnsi" w:cstheme="majorHAnsi"/>
        </w:rPr>
      </w:pPr>
    </w:p>
    <w:p w14:paraId="17711887" w14:textId="2A3EDFB0" w:rsidR="00E14019" w:rsidRDefault="00E14019" w:rsidP="00A56F2B">
      <w:pPr>
        <w:pStyle w:val="ListParagraph"/>
        <w:numPr>
          <w:ilvl w:val="1"/>
          <w:numId w:val="2"/>
        </w:numPr>
        <w:ind w:left="720"/>
        <w:rPr>
          <w:rFonts w:asciiTheme="majorHAnsi" w:hAnsiTheme="majorHAnsi" w:cstheme="majorHAnsi"/>
        </w:rPr>
      </w:pPr>
      <w:r>
        <w:rPr>
          <w:rFonts w:asciiTheme="majorHAnsi" w:hAnsiTheme="majorHAnsi" w:cstheme="majorHAnsi"/>
        </w:rPr>
        <w:t xml:space="preserve">After establishing the competitive range, </w:t>
      </w:r>
      <w:r w:rsidR="00A56F2B" w:rsidRPr="00D2747F">
        <w:rPr>
          <w:rFonts w:asciiTheme="majorHAnsi" w:hAnsiTheme="majorHAnsi" w:cstheme="majorHAnsi"/>
        </w:rPr>
        <w:t xml:space="preserve">EC members </w:t>
      </w:r>
      <w:r w:rsidR="00D2747F">
        <w:rPr>
          <w:rFonts w:asciiTheme="majorHAnsi" w:hAnsiTheme="majorHAnsi" w:cstheme="majorHAnsi"/>
        </w:rPr>
        <w:t xml:space="preserve">will </w:t>
      </w:r>
      <w:r w:rsidR="00A56F2B" w:rsidRPr="00D2747F">
        <w:rPr>
          <w:rFonts w:asciiTheme="majorHAnsi" w:hAnsiTheme="majorHAnsi" w:cstheme="majorHAnsi"/>
        </w:rPr>
        <w:t xml:space="preserve">develop a list of </w:t>
      </w:r>
      <w:r w:rsidR="00F16E45">
        <w:rPr>
          <w:rFonts w:asciiTheme="majorHAnsi" w:hAnsiTheme="majorHAnsi" w:cstheme="majorHAnsi"/>
        </w:rPr>
        <w:t xml:space="preserve">standard </w:t>
      </w:r>
      <w:r w:rsidR="00A56F2B" w:rsidRPr="00D2747F">
        <w:rPr>
          <w:rFonts w:asciiTheme="majorHAnsi" w:hAnsiTheme="majorHAnsi" w:cstheme="majorHAnsi"/>
        </w:rPr>
        <w:t>questions to ask all proposers who will be interviewed and a list of clarifying questions specific to each proposal</w:t>
      </w:r>
      <w:r w:rsidR="00D568FE">
        <w:rPr>
          <w:rFonts w:asciiTheme="majorHAnsi" w:hAnsiTheme="majorHAnsi" w:cstheme="majorHAnsi"/>
        </w:rPr>
        <w:t>, if necessary</w:t>
      </w:r>
      <w:r w:rsidR="00A56F2B" w:rsidRPr="00D2747F">
        <w:rPr>
          <w:rFonts w:asciiTheme="majorHAnsi" w:hAnsiTheme="majorHAnsi" w:cstheme="majorHAnsi"/>
        </w:rPr>
        <w:t xml:space="preserve">.  </w:t>
      </w:r>
    </w:p>
    <w:p w14:paraId="26D83A89" w14:textId="77777777" w:rsidR="00E14019" w:rsidRDefault="00E14019" w:rsidP="0090252F">
      <w:pPr>
        <w:pStyle w:val="ListParagraph"/>
        <w:rPr>
          <w:rFonts w:asciiTheme="majorHAnsi" w:hAnsiTheme="majorHAnsi" w:cstheme="majorHAnsi"/>
        </w:rPr>
      </w:pPr>
    </w:p>
    <w:p w14:paraId="5917EA7D" w14:textId="7AE6CFC1" w:rsidR="00A56F2B" w:rsidRPr="00D2747F" w:rsidRDefault="00DD3EAC" w:rsidP="00A56F2B">
      <w:pPr>
        <w:pStyle w:val="ListParagraph"/>
        <w:numPr>
          <w:ilvl w:val="1"/>
          <w:numId w:val="2"/>
        </w:numPr>
        <w:ind w:left="720"/>
        <w:rPr>
          <w:rFonts w:asciiTheme="majorHAnsi" w:hAnsiTheme="majorHAnsi" w:cstheme="majorHAnsi"/>
        </w:rPr>
      </w:pPr>
      <w:r>
        <w:rPr>
          <w:rFonts w:asciiTheme="majorHAnsi" w:hAnsiTheme="majorHAnsi" w:cstheme="majorHAnsi"/>
        </w:rPr>
        <w:t>PHA</w:t>
      </w:r>
      <w:r w:rsidR="00D2747F" w:rsidRPr="00D2747F">
        <w:rPr>
          <w:rFonts w:asciiTheme="majorHAnsi" w:hAnsiTheme="majorHAnsi" w:cstheme="majorHAnsi"/>
        </w:rPr>
        <w:t xml:space="preserve"> will notify </w:t>
      </w:r>
      <w:r w:rsidR="00D568FE">
        <w:rPr>
          <w:rFonts w:asciiTheme="majorHAnsi" w:hAnsiTheme="majorHAnsi" w:cstheme="majorHAnsi"/>
        </w:rPr>
        <w:t>the</w:t>
      </w:r>
      <w:r w:rsidR="00D568FE" w:rsidRPr="00D2747F">
        <w:rPr>
          <w:rFonts w:asciiTheme="majorHAnsi" w:hAnsiTheme="majorHAnsi" w:cstheme="majorHAnsi"/>
        </w:rPr>
        <w:t xml:space="preserve"> </w:t>
      </w:r>
      <w:r w:rsidR="00D2747F" w:rsidRPr="00D2747F">
        <w:rPr>
          <w:rFonts w:asciiTheme="majorHAnsi" w:hAnsiTheme="majorHAnsi" w:cstheme="majorHAnsi"/>
        </w:rPr>
        <w:t xml:space="preserve">proposers </w:t>
      </w:r>
      <w:r w:rsidR="00D568FE">
        <w:rPr>
          <w:rFonts w:asciiTheme="majorHAnsi" w:hAnsiTheme="majorHAnsi" w:cstheme="majorHAnsi"/>
        </w:rPr>
        <w:t xml:space="preserve">in the competitive range </w:t>
      </w:r>
      <w:r w:rsidR="004E6A7B">
        <w:rPr>
          <w:rFonts w:asciiTheme="majorHAnsi" w:hAnsiTheme="majorHAnsi" w:cstheme="majorHAnsi"/>
        </w:rPr>
        <w:t xml:space="preserve">that they have been chosen to move onto the next round </w:t>
      </w:r>
      <w:r w:rsidR="00D2747F" w:rsidRPr="00D2747F">
        <w:rPr>
          <w:rFonts w:asciiTheme="majorHAnsi" w:hAnsiTheme="majorHAnsi" w:cstheme="majorHAnsi"/>
        </w:rPr>
        <w:t>and ask them to participate in the interviews scheduled for October 22 and 23.</w:t>
      </w:r>
      <w:r w:rsidR="00D2747F">
        <w:rPr>
          <w:rFonts w:asciiTheme="majorHAnsi" w:hAnsiTheme="majorHAnsi" w:cstheme="majorHAnsi"/>
        </w:rPr>
        <w:t xml:space="preserve"> </w:t>
      </w:r>
      <w:r w:rsidR="004E6A7B">
        <w:rPr>
          <w:rFonts w:asciiTheme="majorHAnsi" w:hAnsiTheme="majorHAnsi" w:cstheme="majorHAnsi"/>
        </w:rPr>
        <w:t>Prior to the interviews, e</w:t>
      </w:r>
      <w:r w:rsidR="00A56F2B" w:rsidRPr="00D2747F">
        <w:rPr>
          <w:rFonts w:asciiTheme="majorHAnsi" w:hAnsiTheme="majorHAnsi" w:cstheme="majorHAnsi"/>
        </w:rPr>
        <w:t xml:space="preserve">ach proposer will be sent </w:t>
      </w:r>
      <w:r w:rsidR="004E6A7B">
        <w:rPr>
          <w:rFonts w:asciiTheme="majorHAnsi" w:hAnsiTheme="majorHAnsi" w:cstheme="majorHAnsi"/>
        </w:rPr>
        <w:t>the</w:t>
      </w:r>
      <w:r w:rsidR="00A56F2B" w:rsidRPr="00D2747F">
        <w:rPr>
          <w:rFonts w:asciiTheme="majorHAnsi" w:hAnsiTheme="majorHAnsi" w:cstheme="majorHAnsi"/>
        </w:rPr>
        <w:t xml:space="preserve"> questions as well as a description of the format for the interview session</w:t>
      </w:r>
      <w:r w:rsidR="00D2747F" w:rsidRPr="00D2747F">
        <w:rPr>
          <w:rFonts w:asciiTheme="majorHAnsi" w:hAnsiTheme="majorHAnsi" w:cstheme="majorHAnsi"/>
        </w:rPr>
        <w:t xml:space="preserve">.  </w:t>
      </w:r>
    </w:p>
    <w:p w14:paraId="56FDC252" w14:textId="77777777" w:rsidR="00556CD7" w:rsidRPr="00D2747F" w:rsidRDefault="00556CD7" w:rsidP="00556CD7">
      <w:pPr>
        <w:pStyle w:val="ListParagraph"/>
        <w:rPr>
          <w:rFonts w:asciiTheme="majorHAnsi" w:hAnsiTheme="majorHAnsi" w:cstheme="majorHAnsi"/>
          <w:b/>
        </w:rPr>
      </w:pPr>
    </w:p>
    <w:p w14:paraId="0EF195D7" w14:textId="5FB52688" w:rsidR="00BC391C" w:rsidRDefault="00702A1D" w:rsidP="00BC391C">
      <w:pPr>
        <w:pStyle w:val="ListParagraph"/>
        <w:numPr>
          <w:ilvl w:val="0"/>
          <w:numId w:val="2"/>
        </w:numPr>
        <w:ind w:left="360"/>
        <w:rPr>
          <w:rFonts w:asciiTheme="majorHAnsi" w:hAnsiTheme="majorHAnsi"/>
        </w:rPr>
      </w:pPr>
      <w:r w:rsidRPr="00B73EBC">
        <w:rPr>
          <w:rFonts w:asciiTheme="majorHAnsi" w:hAnsiTheme="majorHAnsi"/>
          <w:b/>
        </w:rPr>
        <w:t xml:space="preserve">Evaluation Committee </w:t>
      </w:r>
      <w:r>
        <w:rPr>
          <w:rFonts w:asciiTheme="majorHAnsi" w:hAnsiTheme="majorHAnsi"/>
          <w:b/>
        </w:rPr>
        <w:t xml:space="preserve">(EC) </w:t>
      </w:r>
      <w:r w:rsidRPr="00B73EBC">
        <w:rPr>
          <w:rFonts w:asciiTheme="majorHAnsi" w:hAnsiTheme="majorHAnsi"/>
          <w:b/>
        </w:rPr>
        <w:t xml:space="preserve">Round </w:t>
      </w:r>
      <w:r>
        <w:rPr>
          <w:rFonts w:asciiTheme="majorHAnsi" w:hAnsiTheme="majorHAnsi"/>
          <w:b/>
        </w:rPr>
        <w:t>2</w:t>
      </w:r>
      <w:r w:rsidRPr="00B73EBC">
        <w:rPr>
          <w:rFonts w:asciiTheme="majorHAnsi" w:hAnsiTheme="majorHAnsi"/>
          <w:b/>
        </w:rPr>
        <w:t xml:space="preserve"> </w:t>
      </w:r>
      <w:r>
        <w:rPr>
          <w:rFonts w:asciiTheme="majorHAnsi" w:hAnsiTheme="majorHAnsi"/>
          <w:b/>
        </w:rPr>
        <w:t xml:space="preserve">Interviews and </w:t>
      </w:r>
      <w:r w:rsidRPr="00B73EBC">
        <w:rPr>
          <w:rFonts w:asciiTheme="majorHAnsi" w:hAnsiTheme="majorHAnsi"/>
          <w:b/>
        </w:rPr>
        <w:t>Scoring</w:t>
      </w:r>
      <w:r w:rsidR="00BC391C">
        <w:rPr>
          <w:rFonts w:asciiTheme="majorHAnsi" w:hAnsiTheme="majorHAnsi"/>
        </w:rPr>
        <w:t xml:space="preserve">  </w:t>
      </w:r>
    </w:p>
    <w:p w14:paraId="3277BB18" w14:textId="77777777" w:rsidR="00C710CD" w:rsidRDefault="00C710CD" w:rsidP="00C710CD">
      <w:pPr>
        <w:pStyle w:val="ListParagraph"/>
        <w:ind w:left="360"/>
        <w:rPr>
          <w:rFonts w:asciiTheme="majorHAnsi" w:hAnsiTheme="majorHAnsi"/>
        </w:rPr>
      </w:pPr>
    </w:p>
    <w:p w14:paraId="6DFA4B3E" w14:textId="37EC054B" w:rsidR="004C6291" w:rsidRDefault="000B01B0" w:rsidP="004C6291">
      <w:pPr>
        <w:pStyle w:val="ListParagraph"/>
        <w:numPr>
          <w:ilvl w:val="1"/>
          <w:numId w:val="2"/>
        </w:numPr>
        <w:ind w:left="720"/>
        <w:rPr>
          <w:rFonts w:asciiTheme="majorHAnsi" w:hAnsiTheme="majorHAnsi"/>
        </w:rPr>
      </w:pPr>
      <w:r>
        <w:rPr>
          <w:rFonts w:asciiTheme="majorHAnsi" w:hAnsiTheme="majorHAnsi"/>
        </w:rPr>
        <w:t>EC members will meet with each Round 2 proposer for approximately 90 minutes</w:t>
      </w:r>
      <w:r w:rsidR="006726CD">
        <w:rPr>
          <w:rFonts w:asciiTheme="majorHAnsi" w:hAnsiTheme="majorHAnsi"/>
        </w:rPr>
        <w:t xml:space="preserve">. </w:t>
      </w:r>
      <w:r w:rsidR="001E24A0" w:rsidRPr="001E24A0">
        <w:rPr>
          <w:rFonts w:asciiTheme="majorHAnsi" w:hAnsiTheme="majorHAnsi"/>
        </w:rPr>
        <w:t xml:space="preserve">The </w:t>
      </w:r>
      <w:r w:rsidR="001E24A0">
        <w:rPr>
          <w:rFonts w:asciiTheme="majorHAnsi" w:hAnsiTheme="majorHAnsi"/>
        </w:rPr>
        <w:t xml:space="preserve">proposers will be asked to </w:t>
      </w:r>
      <w:r w:rsidR="001E24A0" w:rsidRPr="001E24A0">
        <w:rPr>
          <w:rFonts w:asciiTheme="majorHAnsi" w:hAnsiTheme="majorHAnsi"/>
        </w:rPr>
        <w:t>make a 20-30 minute presentation</w:t>
      </w:r>
      <w:r w:rsidR="001E24A0">
        <w:rPr>
          <w:rFonts w:asciiTheme="majorHAnsi" w:hAnsiTheme="majorHAnsi"/>
        </w:rPr>
        <w:t xml:space="preserve">, which will be </w:t>
      </w:r>
      <w:r w:rsidR="001E24A0" w:rsidRPr="001E24A0">
        <w:rPr>
          <w:rFonts w:asciiTheme="majorHAnsi" w:hAnsiTheme="majorHAnsi"/>
        </w:rPr>
        <w:t xml:space="preserve">followed by 60-70 minutes of questions by the </w:t>
      </w:r>
      <w:r w:rsidR="001E24A0">
        <w:rPr>
          <w:rFonts w:asciiTheme="majorHAnsi" w:hAnsiTheme="majorHAnsi"/>
        </w:rPr>
        <w:t>EC</w:t>
      </w:r>
      <w:r w:rsidR="001E24A0" w:rsidRPr="001E24A0">
        <w:rPr>
          <w:rFonts w:asciiTheme="majorHAnsi" w:hAnsiTheme="majorHAnsi"/>
        </w:rPr>
        <w:t xml:space="preserve">.  </w:t>
      </w:r>
      <w:r w:rsidR="00C710CD">
        <w:rPr>
          <w:rFonts w:asciiTheme="majorHAnsi" w:hAnsiTheme="majorHAnsi"/>
        </w:rPr>
        <w:t xml:space="preserve">EC members will take turns asking questions </w:t>
      </w:r>
      <w:r w:rsidR="00F16E45">
        <w:rPr>
          <w:rFonts w:asciiTheme="majorHAnsi" w:hAnsiTheme="majorHAnsi"/>
        </w:rPr>
        <w:t xml:space="preserve">(standard and clarifying) </w:t>
      </w:r>
      <w:r w:rsidR="00C710CD">
        <w:rPr>
          <w:rFonts w:asciiTheme="majorHAnsi" w:hAnsiTheme="majorHAnsi"/>
        </w:rPr>
        <w:t xml:space="preserve">of the proposers. </w:t>
      </w:r>
    </w:p>
    <w:p w14:paraId="71EF1FC0" w14:textId="77777777" w:rsidR="00C710CD" w:rsidRDefault="00C710CD" w:rsidP="00C710CD">
      <w:pPr>
        <w:pStyle w:val="ListParagraph"/>
        <w:rPr>
          <w:rFonts w:asciiTheme="majorHAnsi" w:hAnsiTheme="majorHAnsi"/>
        </w:rPr>
      </w:pPr>
    </w:p>
    <w:p w14:paraId="44347035" w14:textId="0F26607F" w:rsidR="00E14019" w:rsidRDefault="00C710CD" w:rsidP="004C6291">
      <w:pPr>
        <w:pStyle w:val="ListParagraph"/>
        <w:numPr>
          <w:ilvl w:val="1"/>
          <w:numId w:val="2"/>
        </w:numPr>
        <w:ind w:left="720"/>
        <w:rPr>
          <w:rFonts w:asciiTheme="majorHAnsi" w:hAnsiTheme="majorHAnsi"/>
        </w:rPr>
      </w:pPr>
      <w:r>
        <w:rPr>
          <w:rFonts w:asciiTheme="majorHAnsi" w:hAnsiTheme="majorHAnsi"/>
        </w:rPr>
        <w:t xml:space="preserve">After all interviews have been completed, </w:t>
      </w:r>
      <w:r w:rsidR="00220ACD">
        <w:rPr>
          <w:rFonts w:asciiTheme="majorHAnsi" w:hAnsiTheme="majorHAnsi"/>
        </w:rPr>
        <w:t xml:space="preserve">EC members will </w:t>
      </w:r>
      <w:r w:rsidR="00220ACD" w:rsidRPr="009D0BAE">
        <w:rPr>
          <w:rFonts w:asciiTheme="majorHAnsi" w:hAnsiTheme="majorHAnsi"/>
        </w:rPr>
        <w:t xml:space="preserve">rescore all of the </w:t>
      </w:r>
      <w:r w:rsidR="009568E9">
        <w:rPr>
          <w:rFonts w:asciiTheme="majorHAnsi" w:hAnsiTheme="majorHAnsi"/>
        </w:rPr>
        <w:t xml:space="preserve">proposers on all </w:t>
      </w:r>
      <w:r w:rsidR="00220ACD" w:rsidRPr="009D0BAE">
        <w:rPr>
          <w:rFonts w:asciiTheme="majorHAnsi" w:hAnsiTheme="majorHAnsi"/>
        </w:rPr>
        <w:t>evaluation factor</w:t>
      </w:r>
      <w:r w:rsidR="009568E9">
        <w:rPr>
          <w:rFonts w:asciiTheme="majorHAnsi" w:hAnsiTheme="majorHAnsi"/>
        </w:rPr>
        <w:t>s</w:t>
      </w:r>
      <w:r w:rsidR="00220ACD">
        <w:rPr>
          <w:rFonts w:asciiTheme="majorHAnsi" w:hAnsiTheme="majorHAnsi"/>
        </w:rPr>
        <w:t>, including the Business Terms</w:t>
      </w:r>
      <w:r w:rsidR="009568E9">
        <w:rPr>
          <w:rFonts w:asciiTheme="majorHAnsi" w:hAnsiTheme="majorHAnsi"/>
        </w:rPr>
        <w:t xml:space="preserve"> and interviews. </w:t>
      </w:r>
      <w:r w:rsidR="00220ACD">
        <w:rPr>
          <w:rFonts w:asciiTheme="majorHAnsi" w:hAnsiTheme="majorHAnsi"/>
        </w:rPr>
        <w:t xml:space="preserve">EC members may use </w:t>
      </w:r>
      <w:r w:rsidR="00220ACD" w:rsidRPr="00C37DAF">
        <w:rPr>
          <w:rFonts w:asciiTheme="majorHAnsi" w:hAnsiTheme="majorHAnsi"/>
        </w:rPr>
        <w:t xml:space="preserve">their previous individual Evaluation forms </w:t>
      </w:r>
      <w:r w:rsidR="00220ACD">
        <w:rPr>
          <w:rFonts w:asciiTheme="majorHAnsi" w:hAnsiTheme="majorHAnsi"/>
        </w:rPr>
        <w:t xml:space="preserve">for reference </w:t>
      </w:r>
      <w:r w:rsidR="00220ACD" w:rsidRPr="00C37DAF">
        <w:rPr>
          <w:rFonts w:asciiTheme="majorHAnsi" w:hAnsiTheme="majorHAnsi"/>
        </w:rPr>
        <w:t>and note any changes/revisions to their scoring</w:t>
      </w:r>
      <w:r w:rsidR="009568E9">
        <w:rPr>
          <w:rFonts w:asciiTheme="majorHAnsi" w:hAnsiTheme="majorHAnsi"/>
        </w:rPr>
        <w:t xml:space="preserve"> and reasoning</w:t>
      </w:r>
      <w:r w:rsidR="00220ACD" w:rsidRPr="00C37DAF">
        <w:rPr>
          <w:rFonts w:asciiTheme="majorHAnsi" w:hAnsiTheme="majorHAnsi"/>
        </w:rPr>
        <w:t>.</w:t>
      </w:r>
      <w:r w:rsidR="00220ACD">
        <w:rPr>
          <w:rFonts w:asciiTheme="majorHAnsi" w:hAnsiTheme="majorHAnsi"/>
        </w:rPr>
        <w:t xml:space="preserve"> </w:t>
      </w:r>
    </w:p>
    <w:p w14:paraId="5E2E5BC6" w14:textId="77777777" w:rsidR="00E14019" w:rsidRDefault="00E14019" w:rsidP="0090252F">
      <w:pPr>
        <w:pStyle w:val="ListParagraph"/>
        <w:rPr>
          <w:rFonts w:asciiTheme="majorHAnsi" w:hAnsiTheme="majorHAnsi"/>
        </w:rPr>
      </w:pPr>
    </w:p>
    <w:p w14:paraId="1826CD5C" w14:textId="20C8861C" w:rsidR="00C710CD" w:rsidRDefault="00E14019" w:rsidP="004C6291">
      <w:pPr>
        <w:pStyle w:val="ListParagraph"/>
        <w:numPr>
          <w:ilvl w:val="1"/>
          <w:numId w:val="2"/>
        </w:numPr>
        <w:ind w:left="720"/>
        <w:rPr>
          <w:rFonts w:asciiTheme="majorHAnsi" w:hAnsiTheme="majorHAnsi"/>
        </w:rPr>
      </w:pPr>
      <w:r>
        <w:rPr>
          <w:rFonts w:asciiTheme="majorHAnsi" w:hAnsiTheme="majorHAnsi"/>
        </w:rPr>
        <w:t xml:space="preserve">Again, all EC members’ evaluations will be collected and tabulated </w:t>
      </w:r>
      <w:r w:rsidR="00D568FE">
        <w:rPr>
          <w:rFonts w:asciiTheme="majorHAnsi" w:hAnsiTheme="majorHAnsi"/>
        </w:rPr>
        <w:t xml:space="preserve">by the Procurement Officer </w:t>
      </w:r>
      <w:r>
        <w:rPr>
          <w:rFonts w:asciiTheme="majorHAnsi" w:hAnsiTheme="majorHAnsi"/>
        </w:rPr>
        <w:t>into</w:t>
      </w:r>
      <w:r w:rsidR="00D568FE">
        <w:rPr>
          <w:rFonts w:asciiTheme="majorHAnsi" w:hAnsiTheme="majorHAnsi"/>
        </w:rPr>
        <w:t xml:space="preserve"> a single</w:t>
      </w:r>
      <w:r>
        <w:rPr>
          <w:rFonts w:asciiTheme="majorHAnsi" w:hAnsiTheme="majorHAnsi"/>
        </w:rPr>
        <w:t xml:space="preserve"> compiled evaluation. </w:t>
      </w:r>
      <w:r w:rsidR="00220ACD" w:rsidRPr="006E0E57">
        <w:rPr>
          <w:rFonts w:asciiTheme="majorHAnsi" w:hAnsiTheme="majorHAnsi"/>
        </w:rPr>
        <w:t xml:space="preserve">The EC will </w:t>
      </w:r>
      <w:r>
        <w:rPr>
          <w:rFonts w:asciiTheme="majorHAnsi" w:hAnsiTheme="majorHAnsi"/>
        </w:rPr>
        <w:t xml:space="preserve">review the final </w:t>
      </w:r>
      <w:r w:rsidR="00D568FE">
        <w:rPr>
          <w:rFonts w:asciiTheme="majorHAnsi" w:hAnsiTheme="majorHAnsi"/>
        </w:rPr>
        <w:t>ranking based</w:t>
      </w:r>
      <w:r w:rsidR="00220ACD" w:rsidRPr="006E0E57">
        <w:rPr>
          <w:rFonts w:asciiTheme="majorHAnsi" w:hAnsiTheme="majorHAnsi"/>
        </w:rPr>
        <w:t xml:space="preserve"> on the new scores</w:t>
      </w:r>
      <w:r>
        <w:rPr>
          <w:rFonts w:asciiTheme="majorHAnsi" w:hAnsiTheme="majorHAnsi"/>
        </w:rPr>
        <w:t>.</w:t>
      </w:r>
    </w:p>
    <w:p w14:paraId="0831D4F3" w14:textId="77777777" w:rsidR="00E477E2" w:rsidRPr="00E477E2" w:rsidRDefault="00E477E2" w:rsidP="00E477E2">
      <w:pPr>
        <w:pStyle w:val="ListParagraph"/>
        <w:rPr>
          <w:rFonts w:asciiTheme="majorHAnsi" w:hAnsiTheme="majorHAnsi"/>
        </w:rPr>
      </w:pPr>
    </w:p>
    <w:p w14:paraId="4DEFEBB1" w14:textId="4FE3D722" w:rsidR="00E477E2" w:rsidRPr="00E477E2" w:rsidRDefault="00E477E2" w:rsidP="00E477E2">
      <w:pPr>
        <w:pStyle w:val="ListParagraph"/>
        <w:numPr>
          <w:ilvl w:val="0"/>
          <w:numId w:val="2"/>
        </w:numPr>
        <w:ind w:left="360"/>
        <w:rPr>
          <w:rFonts w:asciiTheme="majorHAnsi" w:hAnsiTheme="majorHAnsi"/>
          <w:b/>
        </w:rPr>
      </w:pPr>
      <w:r w:rsidRPr="00E477E2">
        <w:rPr>
          <w:rFonts w:asciiTheme="majorHAnsi" w:hAnsiTheme="majorHAnsi"/>
          <w:b/>
        </w:rPr>
        <w:t>Reference Checks and Best and Final Offers</w:t>
      </w:r>
    </w:p>
    <w:p w14:paraId="45DA7338" w14:textId="77777777" w:rsidR="002D5F09" w:rsidRPr="002D5F09" w:rsidRDefault="002D5F09" w:rsidP="002D5F09">
      <w:pPr>
        <w:pStyle w:val="ListParagraph"/>
        <w:rPr>
          <w:rFonts w:asciiTheme="majorHAnsi" w:hAnsiTheme="majorHAnsi"/>
        </w:rPr>
      </w:pPr>
    </w:p>
    <w:p w14:paraId="3EB8EC08" w14:textId="2164655D" w:rsidR="007B7778" w:rsidRDefault="007B7778" w:rsidP="004C6291">
      <w:pPr>
        <w:pStyle w:val="ListParagraph"/>
        <w:numPr>
          <w:ilvl w:val="1"/>
          <w:numId w:val="2"/>
        </w:numPr>
        <w:ind w:left="720"/>
        <w:rPr>
          <w:rFonts w:asciiTheme="majorHAnsi" w:hAnsiTheme="majorHAnsi"/>
        </w:rPr>
      </w:pPr>
      <w:r>
        <w:rPr>
          <w:rFonts w:asciiTheme="majorHAnsi" w:hAnsiTheme="majorHAnsi"/>
        </w:rPr>
        <w:t xml:space="preserve">Within one week of the interviews, </w:t>
      </w:r>
      <w:r w:rsidR="00DD3EAC">
        <w:rPr>
          <w:rFonts w:asciiTheme="majorHAnsi" w:hAnsiTheme="majorHAnsi"/>
        </w:rPr>
        <w:t>P</w:t>
      </w:r>
      <w:bookmarkStart w:id="0" w:name="_GoBack"/>
      <w:bookmarkEnd w:id="0"/>
      <w:r w:rsidR="00E477E2">
        <w:rPr>
          <w:rFonts w:asciiTheme="majorHAnsi" w:hAnsiTheme="majorHAnsi"/>
        </w:rPr>
        <w:t xml:space="preserve">HA </w:t>
      </w:r>
      <w:r w:rsidR="00E73C06">
        <w:rPr>
          <w:rFonts w:asciiTheme="majorHAnsi" w:hAnsiTheme="majorHAnsi"/>
        </w:rPr>
        <w:t xml:space="preserve">or its designee will </w:t>
      </w:r>
      <w:r w:rsidR="008259BA" w:rsidRPr="008259BA">
        <w:rPr>
          <w:rFonts w:asciiTheme="majorHAnsi" w:hAnsiTheme="majorHAnsi"/>
        </w:rPr>
        <w:t>complete</w:t>
      </w:r>
      <w:r w:rsidR="008259BA">
        <w:rPr>
          <w:rFonts w:asciiTheme="majorHAnsi" w:hAnsiTheme="majorHAnsi"/>
        </w:rPr>
        <w:t xml:space="preserve"> reference checks for the Round 2 proposers. </w:t>
      </w:r>
      <w:r w:rsidR="008259BA" w:rsidRPr="008259BA">
        <w:rPr>
          <w:rFonts w:asciiTheme="majorHAnsi" w:hAnsiTheme="majorHAnsi"/>
        </w:rPr>
        <w:t xml:space="preserve"> </w:t>
      </w:r>
    </w:p>
    <w:p w14:paraId="5BAA7963" w14:textId="77777777" w:rsidR="007B7778" w:rsidRDefault="007B7778" w:rsidP="007B7778">
      <w:pPr>
        <w:pStyle w:val="ListParagraph"/>
        <w:rPr>
          <w:rFonts w:asciiTheme="majorHAnsi" w:hAnsiTheme="majorHAnsi"/>
        </w:rPr>
      </w:pPr>
    </w:p>
    <w:p w14:paraId="6D392720" w14:textId="3AD76766" w:rsidR="002A0F0D" w:rsidRDefault="007B7778" w:rsidP="004C6291">
      <w:pPr>
        <w:pStyle w:val="ListParagraph"/>
        <w:numPr>
          <w:ilvl w:val="1"/>
          <w:numId w:val="2"/>
        </w:numPr>
        <w:ind w:left="720"/>
        <w:rPr>
          <w:rFonts w:asciiTheme="majorHAnsi" w:hAnsiTheme="majorHAnsi"/>
        </w:rPr>
      </w:pPr>
      <w:r>
        <w:rPr>
          <w:rFonts w:asciiTheme="majorHAnsi" w:hAnsiTheme="majorHAnsi"/>
        </w:rPr>
        <w:t xml:space="preserve">During this period, </w:t>
      </w:r>
      <w:r w:rsidR="002A0F0D" w:rsidRPr="002A0F0D">
        <w:rPr>
          <w:rFonts w:asciiTheme="majorHAnsi" w:hAnsiTheme="majorHAnsi"/>
        </w:rPr>
        <w:t xml:space="preserve">proposers will be requested to submit Best and Final Offers </w:t>
      </w:r>
      <w:r w:rsidR="00E84546">
        <w:rPr>
          <w:rFonts w:asciiTheme="majorHAnsi" w:hAnsiTheme="majorHAnsi"/>
        </w:rPr>
        <w:t>regarding proposed Business Terms</w:t>
      </w:r>
      <w:r w:rsidR="002A0F0D" w:rsidRPr="002A0F0D">
        <w:rPr>
          <w:rFonts w:asciiTheme="majorHAnsi" w:hAnsiTheme="majorHAnsi"/>
        </w:rPr>
        <w:t xml:space="preserve">. </w:t>
      </w:r>
    </w:p>
    <w:p w14:paraId="449EE1C6" w14:textId="77777777" w:rsidR="002A0F0D" w:rsidRPr="002A0F0D" w:rsidRDefault="002A0F0D" w:rsidP="002A0F0D">
      <w:pPr>
        <w:pStyle w:val="ListParagraph"/>
        <w:rPr>
          <w:rFonts w:asciiTheme="majorHAnsi" w:hAnsiTheme="majorHAnsi"/>
        </w:rPr>
      </w:pPr>
    </w:p>
    <w:p w14:paraId="27FA059C" w14:textId="467CBC23" w:rsidR="00FD731E" w:rsidRDefault="00DD3EAC" w:rsidP="004C6291">
      <w:pPr>
        <w:pStyle w:val="ListParagraph"/>
        <w:numPr>
          <w:ilvl w:val="1"/>
          <w:numId w:val="2"/>
        </w:numPr>
        <w:ind w:left="720"/>
        <w:rPr>
          <w:rFonts w:asciiTheme="majorHAnsi" w:hAnsiTheme="majorHAnsi"/>
        </w:rPr>
      </w:pPr>
      <w:r>
        <w:rPr>
          <w:rFonts w:asciiTheme="majorHAnsi" w:hAnsiTheme="majorHAnsi"/>
        </w:rPr>
        <w:t>PHA</w:t>
      </w:r>
      <w:r w:rsidR="00FD731E">
        <w:rPr>
          <w:rFonts w:asciiTheme="majorHAnsi" w:hAnsiTheme="majorHAnsi"/>
        </w:rPr>
        <w:t xml:space="preserve"> or its designee will </w:t>
      </w:r>
      <w:r w:rsidR="002B3463">
        <w:rPr>
          <w:rFonts w:asciiTheme="majorHAnsi" w:hAnsiTheme="majorHAnsi"/>
        </w:rPr>
        <w:t xml:space="preserve">update the EC group scoring forms with </w:t>
      </w:r>
      <w:r w:rsidR="000B12B5">
        <w:rPr>
          <w:rFonts w:asciiTheme="majorHAnsi" w:hAnsiTheme="majorHAnsi"/>
        </w:rPr>
        <w:t>points</w:t>
      </w:r>
      <w:r w:rsidR="002B3463">
        <w:rPr>
          <w:rFonts w:asciiTheme="majorHAnsi" w:hAnsiTheme="majorHAnsi"/>
        </w:rPr>
        <w:t xml:space="preserve"> b</w:t>
      </w:r>
      <w:r w:rsidR="00FD731E" w:rsidRPr="00FD731E">
        <w:rPr>
          <w:rFonts w:asciiTheme="majorHAnsi" w:hAnsiTheme="majorHAnsi"/>
        </w:rPr>
        <w:t>ased on reference checks and Best and Final Offers</w:t>
      </w:r>
      <w:r w:rsidR="002B3463">
        <w:rPr>
          <w:rFonts w:asciiTheme="majorHAnsi" w:hAnsiTheme="majorHAnsi"/>
        </w:rPr>
        <w:t>. Proposer</w:t>
      </w:r>
      <w:r w:rsidR="001F362E">
        <w:rPr>
          <w:rFonts w:asciiTheme="majorHAnsi" w:hAnsiTheme="majorHAnsi"/>
        </w:rPr>
        <w:t>s</w:t>
      </w:r>
      <w:r w:rsidR="002B3463">
        <w:rPr>
          <w:rFonts w:asciiTheme="majorHAnsi" w:hAnsiTheme="majorHAnsi"/>
        </w:rPr>
        <w:t xml:space="preserve"> will be ranked fo</w:t>
      </w:r>
      <w:r w:rsidR="00E84546">
        <w:rPr>
          <w:rFonts w:asciiTheme="majorHAnsi" w:hAnsiTheme="majorHAnsi"/>
        </w:rPr>
        <w:t>r</w:t>
      </w:r>
      <w:r w:rsidR="002B3463">
        <w:rPr>
          <w:rFonts w:asciiTheme="majorHAnsi" w:hAnsiTheme="majorHAnsi"/>
        </w:rPr>
        <w:t xml:space="preserve"> the final time and </w:t>
      </w:r>
      <w:r>
        <w:rPr>
          <w:rFonts w:asciiTheme="majorHAnsi" w:hAnsiTheme="majorHAnsi"/>
        </w:rPr>
        <w:t>PHA</w:t>
      </w:r>
      <w:r w:rsidR="002B3463">
        <w:rPr>
          <w:rFonts w:asciiTheme="majorHAnsi" w:hAnsiTheme="majorHAnsi"/>
        </w:rPr>
        <w:t xml:space="preserve"> or its designee will </w:t>
      </w:r>
      <w:r w:rsidR="00FD731E" w:rsidRPr="00FD731E">
        <w:rPr>
          <w:rFonts w:asciiTheme="majorHAnsi" w:hAnsiTheme="majorHAnsi"/>
        </w:rPr>
        <w:t xml:space="preserve">draft </w:t>
      </w:r>
      <w:r w:rsidR="002B3463">
        <w:rPr>
          <w:rFonts w:asciiTheme="majorHAnsi" w:hAnsiTheme="majorHAnsi"/>
        </w:rPr>
        <w:t>the j</w:t>
      </w:r>
      <w:r w:rsidR="00FD731E" w:rsidRPr="00FD731E">
        <w:rPr>
          <w:rFonts w:asciiTheme="majorHAnsi" w:hAnsiTheme="majorHAnsi"/>
        </w:rPr>
        <w:t xml:space="preserve">ustification for selection and prepare </w:t>
      </w:r>
      <w:r w:rsidR="002B3463">
        <w:rPr>
          <w:rFonts w:asciiTheme="majorHAnsi" w:hAnsiTheme="majorHAnsi"/>
        </w:rPr>
        <w:t>a r</w:t>
      </w:r>
      <w:r w:rsidR="00FD731E" w:rsidRPr="00FD731E">
        <w:rPr>
          <w:rFonts w:asciiTheme="majorHAnsi" w:hAnsiTheme="majorHAnsi"/>
        </w:rPr>
        <w:t xml:space="preserve">ecommendation for Board approval and submit to </w:t>
      </w:r>
      <w:r>
        <w:rPr>
          <w:rFonts w:asciiTheme="majorHAnsi" w:hAnsiTheme="majorHAnsi"/>
        </w:rPr>
        <w:t>PHA</w:t>
      </w:r>
      <w:r w:rsidR="00FD731E" w:rsidRPr="00FD731E">
        <w:rPr>
          <w:rFonts w:asciiTheme="majorHAnsi" w:hAnsiTheme="majorHAnsi"/>
        </w:rPr>
        <w:t xml:space="preserve"> for review</w:t>
      </w:r>
      <w:r w:rsidR="002B3463">
        <w:rPr>
          <w:rFonts w:asciiTheme="majorHAnsi" w:hAnsiTheme="majorHAnsi"/>
        </w:rPr>
        <w:t>.</w:t>
      </w:r>
      <w:r w:rsidR="00FD731E" w:rsidRPr="00FD731E">
        <w:rPr>
          <w:rFonts w:asciiTheme="majorHAnsi" w:hAnsiTheme="majorHAnsi"/>
        </w:rPr>
        <w:t xml:space="preserve"> </w:t>
      </w:r>
    </w:p>
    <w:p w14:paraId="3DB5F51C" w14:textId="77777777" w:rsidR="00FD731E" w:rsidRPr="00FD731E" w:rsidRDefault="00FD731E" w:rsidP="00FD731E">
      <w:pPr>
        <w:pStyle w:val="ListParagraph"/>
        <w:rPr>
          <w:rFonts w:asciiTheme="majorHAnsi" w:hAnsiTheme="majorHAnsi"/>
        </w:rPr>
      </w:pPr>
    </w:p>
    <w:p w14:paraId="36F73C8B" w14:textId="53BE24B9" w:rsidR="002D5F09" w:rsidRDefault="002D5F09" w:rsidP="004C6291">
      <w:pPr>
        <w:pStyle w:val="ListParagraph"/>
        <w:numPr>
          <w:ilvl w:val="1"/>
          <w:numId w:val="2"/>
        </w:numPr>
        <w:ind w:left="720"/>
        <w:rPr>
          <w:rFonts w:asciiTheme="majorHAnsi" w:hAnsiTheme="majorHAnsi"/>
        </w:rPr>
      </w:pPr>
      <w:r w:rsidRPr="002D5F09">
        <w:rPr>
          <w:rFonts w:asciiTheme="majorHAnsi" w:hAnsiTheme="majorHAnsi"/>
        </w:rPr>
        <w:t xml:space="preserve">The </w:t>
      </w:r>
      <w:r w:rsidR="00DD3EAC">
        <w:rPr>
          <w:rFonts w:asciiTheme="majorHAnsi" w:hAnsiTheme="majorHAnsi"/>
        </w:rPr>
        <w:t>PHA</w:t>
      </w:r>
      <w:r w:rsidR="002B3463">
        <w:rPr>
          <w:rFonts w:asciiTheme="majorHAnsi" w:hAnsiTheme="majorHAnsi"/>
        </w:rPr>
        <w:t xml:space="preserve"> </w:t>
      </w:r>
      <w:r w:rsidRPr="002D5F09">
        <w:rPr>
          <w:rFonts w:asciiTheme="majorHAnsi" w:hAnsiTheme="majorHAnsi"/>
        </w:rPr>
        <w:t xml:space="preserve">Board will be asked to approve </w:t>
      </w:r>
      <w:r w:rsidR="002B3463">
        <w:rPr>
          <w:rFonts w:asciiTheme="majorHAnsi" w:hAnsiTheme="majorHAnsi"/>
        </w:rPr>
        <w:t>the Executive Director</w:t>
      </w:r>
      <w:r w:rsidRPr="002D5F09">
        <w:rPr>
          <w:rFonts w:asciiTheme="majorHAnsi" w:hAnsiTheme="majorHAnsi"/>
        </w:rPr>
        <w:t xml:space="preserve"> moving forward with negotiations with the highest-ranked proposer.</w:t>
      </w:r>
    </w:p>
    <w:p w14:paraId="0EF195D8" w14:textId="77777777" w:rsidR="00BC391C" w:rsidRPr="00BC391C" w:rsidRDefault="00BC391C" w:rsidP="00BC391C">
      <w:pPr>
        <w:rPr>
          <w:rFonts w:asciiTheme="majorHAnsi" w:hAnsiTheme="majorHAnsi"/>
        </w:rPr>
      </w:pPr>
    </w:p>
    <w:p w14:paraId="0EF195E1" w14:textId="77777777" w:rsidR="00BC391C" w:rsidRDefault="00BC391C" w:rsidP="00BC391C">
      <w:pPr>
        <w:rPr>
          <w:rFonts w:asciiTheme="majorHAnsi" w:hAnsiTheme="majorHAnsi"/>
        </w:rPr>
      </w:pPr>
    </w:p>
    <w:p w14:paraId="0EF195F3" w14:textId="77777777" w:rsidR="000D6F55" w:rsidRDefault="000D6F55" w:rsidP="00BC391C">
      <w:pPr>
        <w:rPr>
          <w:rFonts w:asciiTheme="majorHAnsi" w:hAnsiTheme="majorHAnsi"/>
        </w:rPr>
      </w:pPr>
    </w:p>
    <w:p w14:paraId="0EF195F4" w14:textId="77777777" w:rsidR="000D6F55" w:rsidRDefault="000D6F55" w:rsidP="00BC391C">
      <w:pPr>
        <w:rPr>
          <w:rFonts w:asciiTheme="majorHAnsi" w:hAnsiTheme="majorHAnsi"/>
        </w:rPr>
      </w:pPr>
    </w:p>
    <w:p w14:paraId="0EF195F5" w14:textId="77777777" w:rsidR="000D6F55" w:rsidRDefault="000D6F55" w:rsidP="00BC391C">
      <w:pPr>
        <w:rPr>
          <w:rFonts w:asciiTheme="majorHAnsi" w:hAnsiTheme="majorHAnsi"/>
        </w:rPr>
      </w:pPr>
    </w:p>
    <w:p w14:paraId="0EF195F6" w14:textId="77777777" w:rsidR="00F458CE" w:rsidRDefault="00F458CE" w:rsidP="00BC391C">
      <w:pPr>
        <w:rPr>
          <w:rFonts w:asciiTheme="majorHAnsi" w:hAnsiTheme="majorHAnsi"/>
        </w:rPr>
      </w:pPr>
    </w:p>
    <w:p w14:paraId="0EF195F7" w14:textId="77777777" w:rsidR="00F458CE" w:rsidRPr="00BC391C" w:rsidRDefault="00F458CE" w:rsidP="00BC391C">
      <w:pPr>
        <w:rPr>
          <w:rFonts w:asciiTheme="majorHAnsi" w:hAnsiTheme="majorHAnsi"/>
        </w:rPr>
      </w:pPr>
    </w:p>
    <w:p w14:paraId="0EF195F8" w14:textId="77777777" w:rsidR="00BC391C" w:rsidRPr="00BC391C" w:rsidRDefault="00BC391C" w:rsidP="00BC391C">
      <w:pPr>
        <w:rPr>
          <w:rFonts w:asciiTheme="majorHAnsi" w:hAnsiTheme="majorHAnsi"/>
        </w:rPr>
      </w:pPr>
    </w:p>
    <w:p w14:paraId="0EF195F9" w14:textId="77777777" w:rsidR="00BC391C" w:rsidRPr="00BC391C" w:rsidRDefault="00BC391C" w:rsidP="00BC391C">
      <w:pPr>
        <w:rPr>
          <w:rFonts w:asciiTheme="majorHAnsi" w:hAnsiTheme="majorHAnsi"/>
          <w:b/>
        </w:rPr>
      </w:pPr>
    </w:p>
    <w:sectPr w:rsidR="00BC391C" w:rsidRPr="00BC391C" w:rsidSect="00E80CC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08172" w14:textId="77777777" w:rsidR="0048700D" w:rsidRDefault="0048700D" w:rsidP="00D1427D">
      <w:r>
        <w:separator/>
      </w:r>
    </w:p>
  </w:endnote>
  <w:endnote w:type="continuationSeparator" w:id="0">
    <w:p w14:paraId="44DEC841" w14:textId="77777777" w:rsidR="0048700D" w:rsidRDefault="0048700D" w:rsidP="00D1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F4969" w14:textId="21E8E2DB" w:rsidR="00D1427D" w:rsidRPr="00D1427D" w:rsidRDefault="00D1427D">
    <w:pPr>
      <w:pStyle w:val="Footer"/>
      <w:rPr>
        <w:rFonts w:ascii="Tahoma" w:hAnsi="Tahoma" w:cs="Tahoma"/>
        <w:sz w:val="16"/>
        <w:szCs w:val="16"/>
      </w:rPr>
    </w:pPr>
    <w:r w:rsidRPr="00D1427D">
      <w:rPr>
        <w:rFonts w:ascii="Tahoma" w:hAnsi="Tahoma" w:cs="Tahoma"/>
        <w:sz w:val="16"/>
        <w:szCs w:val="16"/>
      </w:rPr>
      <w:t xml:space="preserve">Instructions for Reviewing Proposals                      </w:t>
    </w:r>
    <w:r>
      <w:rPr>
        <w:rFonts w:ascii="Tahoma" w:hAnsi="Tahoma" w:cs="Tahoma"/>
        <w:sz w:val="16"/>
        <w:szCs w:val="16"/>
      </w:rPr>
      <w:tab/>
    </w:r>
    <w:r>
      <w:rPr>
        <w:rFonts w:ascii="Tahoma" w:hAnsi="Tahoma" w:cs="Tahoma"/>
        <w:sz w:val="16"/>
        <w:szCs w:val="16"/>
      </w:rPr>
      <w:tab/>
    </w:r>
    <w:r w:rsidRPr="00D1427D">
      <w:rPr>
        <w:rFonts w:ascii="Tahoma" w:hAnsi="Tahoma" w:cs="Tahoma"/>
        <w:sz w:val="16"/>
        <w:szCs w:val="16"/>
      </w:rPr>
      <w:t xml:space="preserve"> Page </w:t>
    </w:r>
    <w:r w:rsidRPr="00D1427D">
      <w:rPr>
        <w:rFonts w:ascii="Tahoma" w:hAnsi="Tahoma" w:cs="Tahoma"/>
        <w:sz w:val="16"/>
        <w:szCs w:val="16"/>
      </w:rPr>
      <w:fldChar w:fldCharType="begin"/>
    </w:r>
    <w:r w:rsidRPr="00D1427D">
      <w:rPr>
        <w:rFonts w:ascii="Tahoma" w:hAnsi="Tahoma" w:cs="Tahoma"/>
        <w:sz w:val="16"/>
        <w:szCs w:val="16"/>
      </w:rPr>
      <w:instrText xml:space="preserve"> PAGE   \* MERGEFORMAT </w:instrText>
    </w:r>
    <w:r w:rsidRPr="00D1427D">
      <w:rPr>
        <w:rFonts w:ascii="Tahoma" w:hAnsi="Tahoma" w:cs="Tahoma"/>
        <w:sz w:val="16"/>
        <w:szCs w:val="16"/>
      </w:rPr>
      <w:fldChar w:fldCharType="separate"/>
    </w:r>
    <w:r>
      <w:rPr>
        <w:rFonts w:ascii="Tahoma" w:hAnsi="Tahoma" w:cs="Tahoma"/>
        <w:noProof/>
        <w:sz w:val="16"/>
        <w:szCs w:val="16"/>
      </w:rPr>
      <w:t>4</w:t>
    </w:r>
    <w:r w:rsidRPr="00D1427D">
      <w:rPr>
        <w:rFonts w:ascii="Tahoma" w:hAnsi="Tahoma" w:cs="Tahoma"/>
        <w:noProof/>
        <w:sz w:val="16"/>
        <w:szCs w:val="16"/>
      </w:rPr>
      <w:fldChar w:fldCharType="end"/>
    </w:r>
    <w:r w:rsidRPr="00D1427D">
      <w:rPr>
        <w:rFonts w:ascii="Tahoma" w:hAnsi="Tahoma" w:cs="Tahoma"/>
        <w:noProof/>
        <w:sz w:val="16"/>
        <w:szCs w:val="16"/>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2F247" w14:textId="77777777" w:rsidR="0048700D" w:rsidRDefault="0048700D" w:rsidP="00D1427D">
      <w:r>
        <w:separator/>
      </w:r>
    </w:p>
  </w:footnote>
  <w:footnote w:type="continuationSeparator" w:id="0">
    <w:p w14:paraId="1F2882AE" w14:textId="77777777" w:rsidR="0048700D" w:rsidRDefault="0048700D" w:rsidP="00D14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48CE"/>
    <w:multiLevelType w:val="hybridMultilevel"/>
    <w:tmpl w:val="B64611B6"/>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9344D88"/>
    <w:multiLevelType w:val="hybridMultilevel"/>
    <w:tmpl w:val="5E1249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7031BD"/>
    <w:multiLevelType w:val="hybridMultilevel"/>
    <w:tmpl w:val="C7B89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C7624B"/>
    <w:multiLevelType w:val="hybridMultilevel"/>
    <w:tmpl w:val="9A4CD9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C973D2"/>
    <w:multiLevelType w:val="hybridMultilevel"/>
    <w:tmpl w:val="0C127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53AC7"/>
    <w:multiLevelType w:val="hybridMultilevel"/>
    <w:tmpl w:val="68E46032"/>
    <w:lvl w:ilvl="0" w:tplc="117AECCA">
      <w:start w:val="1"/>
      <w:numFmt w:val="upperRoman"/>
      <w:lvlText w:val="%1."/>
      <w:lvlJc w:val="left"/>
      <w:pPr>
        <w:ind w:left="1080" w:hanging="720"/>
      </w:pPr>
      <w:rPr>
        <w:rFonts w:hint="default"/>
      </w:rPr>
    </w:lvl>
    <w:lvl w:ilvl="1" w:tplc="E8FA8602">
      <w:start w:val="1"/>
      <w:numFmt w:val="upperLetter"/>
      <w:pStyle w:val="HeaderB"/>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C83A0A86">
      <w:start w:val="3"/>
      <w:numFmt w:val="upperLetter"/>
      <w:lvlText w:val="%7&gt;"/>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37033C"/>
    <w:multiLevelType w:val="hybridMultilevel"/>
    <w:tmpl w:val="B87E59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9B59C1"/>
    <w:multiLevelType w:val="hybridMultilevel"/>
    <w:tmpl w:val="875E9C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6"/>
  </w:num>
  <w:num w:numId="5">
    <w:abstractNumId w:val="7"/>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CC9"/>
    <w:rsid w:val="0006042B"/>
    <w:rsid w:val="000B01B0"/>
    <w:rsid w:val="000B12B5"/>
    <w:rsid w:val="000B1F95"/>
    <w:rsid w:val="000D2507"/>
    <w:rsid w:val="000D5178"/>
    <w:rsid w:val="000D6F55"/>
    <w:rsid w:val="00177A7D"/>
    <w:rsid w:val="001B60CA"/>
    <w:rsid w:val="001E24A0"/>
    <w:rsid w:val="001F362E"/>
    <w:rsid w:val="00220ACD"/>
    <w:rsid w:val="00241EDE"/>
    <w:rsid w:val="002611FD"/>
    <w:rsid w:val="002A0F0D"/>
    <w:rsid w:val="002B3463"/>
    <w:rsid w:val="002D5F09"/>
    <w:rsid w:val="00315A48"/>
    <w:rsid w:val="00341DF2"/>
    <w:rsid w:val="003A6102"/>
    <w:rsid w:val="003D64A3"/>
    <w:rsid w:val="00400AE9"/>
    <w:rsid w:val="0048700D"/>
    <w:rsid w:val="004A5444"/>
    <w:rsid w:val="004C6291"/>
    <w:rsid w:val="004E6A7B"/>
    <w:rsid w:val="00514372"/>
    <w:rsid w:val="00555B1F"/>
    <w:rsid w:val="00556CD7"/>
    <w:rsid w:val="005A5F31"/>
    <w:rsid w:val="005B53FD"/>
    <w:rsid w:val="005E26C5"/>
    <w:rsid w:val="00633280"/>
    <w:rsid w:val="006726CD"/>
    <w:rsid w:val="006E0E57"/>
    <w:rsid w:val="00702A1D"/>
    <w:rsid w:val="007B7778"/>
    <w:rsid w:val="007C6ACC"/>
    <w:rsid w:val="008259BA"/>
    <w:rsid w:val="0090252F"/>
    <w:rsid w:val="009568E9"/>
    <w:rsid w:val="00974357"/>
    <w:rsid w:val="00994E9A"/>
    <w:rsid w:val="00A56F2B"/>
    <w:rsid w:val="00A67AB1"/>
    <w:rsid w:val="00A7081D"/>
    <w:rsid w:val="00A84A75"/>
    <w:rsid w:val="00B07534"/>
    <w:rsid w:val="00B73EBC"/>
    <w:rsid w:val="00BC391C"/>
    <w:rsid w:val="00BF32C8"/>
    <w:rsid w:val="00C0000C"/>
    <w:rsid w:val="00C37DAF"/>
    <w:rsid w:val="00C6502B"/>
    <w:rsid w:val="00C710CD"/>
    <w:rsid w:val="00D1427D"/>
    <w:rsid w:val="00D2747F"/>
    <w:rsid w:val="00D568FE"/>
    <w:rsid w:val="00DB58CF"/>
    <w:rsid w:val="00DD3EAC"/>
    <w:rsid w:val="00DF6C81"/>
    <w:rsid w:val="00E14019"/>
    <w:rsid w:val="00E477E2"/>
    <w:rsid w:val="00E514B4"/>
    <w:rsid w:val="00E73C06"/>
    <w:rsid w:val="00E80CCC"/>
    <w:rsid w:val="00E84546"/>
    <w:rsid w:val="00ED5D57"/>
    <w:rsid w:val="00F02CC9"/>
    <w:rsid w:val="00F16E45"/>
    <w:rsid w:val="00F458CE"/>
    <w:rsid w:val="00F67461"/>
    <w:rsid w:val="00FA1F01"/>
    <w:rsid w:val="00FD7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F195C2"/>
  <w15:docId w15:val="{1A338BD0-8614-4848-A2CE-180F0A82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41DF2"/>
    <w:pPr>
      <w:keepNext/>
      <w:jc w:val="center"/>
      <w:outlineLvl w:val="1"/>
    </w:pPr>
    <w:rPr>
      <w:rFonts w:eastAsiaTheme="minorHAns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02CC9"/>
    <w:pPr>
      <w:ind w:left="720"/>
      <w:contextualSpacing/>
    </w:pPr>
  </w:style>
  <w:style w:type="character" w:customStyle="1" w:styleId="Heading2Char">
    <w:name w:val="Heading 2 Char"/>
    <w:basedOn w:val="DefaultParagraphFont"/>
    <w:link w:val="Heading2"/>
    <w:uiPriority w:val="9"/>
    <w:rsid w:val="00341DF2"/>
    <w:rPr>
      <w:rFonts w:eastAsiaTheme="minorHAnsi"/>
      <w:b/>
      <w:sz w:val="28"/>
      <w:szCs w:val="28"/>
    </w:rPr>
  </w:style>
  <w:style w:type="character" w:customStyle="1" w:styleId="ListParagraphChar">
    <w:name w:val="List Paragraph Char"/>
    <w:basedOn w:val="DefaultParagraphFont"/>
    <w:link w:val="ListParagraph"/>
    <w:uiPriority w:val="1"/>
    <w:rsid w:val="00E80CCC"/>
  </w:style>
  <w:style w:type="table" w:styleId="TableGrid">
    <w:name w:val="Table Grid"/>
    <w:basedOn w:val="TableNormal"/>
    <w:uiPriority w:val="59"/>
    <w:rsid w:val="00E80CC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B">
    <w:name w:val="HeaderB"/>
    <w:basedOn w:val="Normal"/>
    <w:qFormat/>
    <w:rsid w:val="00E80CCC"/>
    <w:pPr>
      <w:keepNext/>
      <w:numPr>
        <w:ilvl w:val="1"/>
        <w:numId w:val="3"/>
      </w:numPr>
      <w:ind w:left="720"/>
      <w:outlineLvl w:val="0"/>
    </w:pPr>
    <w:rPr>
      <w:rFonts w:ascii="Calibri" w:eastAsia="Calibri" w:hAnsi="Calibri" w:cs="Calibri"/>
      <w:b/>
      <w:sz w:val="22"/>
      <w:szCs w:val="22"/>
    </w:rPr>
  </w:style>
  <w:style w:type="paragraph" w:styleId="BalloonText">
    <w:name w:val="Balloon Text"/>
    <w:basedOn w:val="Normal"/>
    <w:link w:val="BalloonTextChar"/>
    <w:uiPriority w:val="99"/>
    <w:semiHidden/>
    <w:unhideWhenUsed/>
    <w:rsid w:val="00E140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019"/>
    <w:rPr>
      <w:rFonts w:ascii="Segoe UI" w:hAnsi="Segoe UI" w:cs="Segoe UI"/>
      <w:sz w:val="18"/>
      <w:szCs w:val="18"/>
    </w:rPr>
  </w:style>
  <w:style w:type="character" w:styleId="CommentReference">
    <w:name w:val="annotation reference"/>
    <w:basedOn w:val="DefaultParagraphFont"/>
    <w:uiPriority w:val="99"/>
    <w:semiHidden/>
    <w:unhideWhenUsed/>
    <w:rsid w:val="00D568FE"/>
    <w:rPr>
      <w:sz w:val="16"/>
      <w:szCs w:val="16"/>
    </w:rPr>
  </w:style>
  <w:style w:type="paragraph" w:styleId="CommentText">
    <w:name w:val="annotation text"/>
    <w:basedOn w:val="Normal"/>
    <w:link w:val="CommentTextChar"/>
    <w:uiPriority w:val="99"/>
    <w:semiHidden/>
    <w:unhideWhenUsed/>
    <w:rsid w:val="00D568FE"/>
    <w:rPr>
      <w:sz w:val="20"/>
      <w:szCs w:val="20"/>
    </w:rPr>
  </w:style>
  <w:style w:type="character" w:customStyle="1" w:styleId="CommentTextChar">
    <w:name w:val="Comment Text Char"/>
    <w:basedOn w:val="DefaultParagraphFont"/>
    <w:link w:val="CommentText"/>
    <w:uiPriority w:val="99"/>
    <w:semiHidden/>
    <w:rsid w:val="00D568FE"/>
    <w:rPr>
      <w:sz w:val="20"/>
      <w:szCs w:val="20"/>
    </w:rPr>
  </w:style>
  <w:style w:type="paragraph" w:styleId="CommentSubject">
    <w:name w:val="annotation subject"/>
    <w:basedOn w:val="CommentText"/>
    <w:next w:val="CommentText"/>
    <w:link w:val="CommentSubjectChar"/>
    <w:uiPriority w:val="99"/>
    <w:semiHidden/>
    <w:unhideWhenUsed/>
    <w:rsid w:val="00D568FE"/>
    <w:rPr>
      <w:b/>
      <w:bCs/>
    </w:rPr>
  </w:style>
  <w:style w:type="character" w:customStyle="1" w:styleId="CommentSubjectChar">
    <w:name w:val="Comment Subject Char"/>
    <w:basedOn w:val="CommentTextChar"/>
    <w:link w:val="CommentSubject"/>
    <w:uiPriority w:val="99"/>
    <w:semiHidden/>
    <w:rsid w:val="00D568FE"/>
    <w:rPr>
      <w:b/>
      <w:bCs/>
      <w:sz w:val="20"/>
      <w:szCs w:val="20"/>
    </w:rPr>
  </w:style>
  <w:style w:type="paragraph" w:styleId="Header">
    <w:name w:val="header"/>
    <w:basedOn w:val="Normal"/>
    <w:link w:val="HeaderChar"/>
    <w:uiPriority w:val="99"/>
    <w:unhideWhenUsed/>
    <w:rsid w:val="00D1427D"/>
    <w:pPr>
      <w:tabs>
        <w:tab w:val="center" w:pos="4680"/>
        <w:tab w:val="right" w:pos="9360"/>
      </w:tabs>
    </w:pPr>
  </w:style>
  <w:style w:type="character" w:customStyle="1" w:styleId="HeaderChar">
    <w:name w:val="Header Char"/>
    <w:basedOn w:val="DefaultParagraphFont"/>
    <w:link w:val="Header"/>
    <w:uiPriority w:val="99"/>
    <w:rsid w:val="00D1427D"/>
  </w:style>
  <w:style w:type="paragraph" w:styleId="Footer">
    <w:name w:val="footer"/>
    <w:basedOn w:val="Normal"/>
    <w:link w:val="FooterChar"/>
    <w:uiPriority w:val="99"/>
    <w:unhideWhenUsed/>
    <w:rsid w:val="00D1427D"/>
    <w:pPr>
      <w:tabs>
        <w:tab w:val="center" w:pos="4680"/>
        <w:tab w:val="right" w:pos="9360"/>
      </w:tabs>
    </w:pPr>
  </w:style>
  <w:style w:type="character" w:customStyle="1" w:styleId="FooterChar">
    <w:name w:val="Footer Char"/>
    <w:basedOn w:val="DefaultParagraphFont"/>
    <w:link w:val="Footer"/>
    <w:uiPriority w:val="99"/>
    <w:rsid w:val="00D14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A552F7E804D34FA4DB31A760DC6FD8" ma:contentTypeVersion="6" ma:contentTypeDescription="Create a new document." ma:contentTypeScope="" ma:versionID="c45c47cabd0fa9e9f6efec6250cb0d67">
  <xsd:schema xmlns:xsd="http://www.w3.org/2001/XMLSchema" xmlns:xs="http://www.w3.org/2001/XMLSchema" xmlns:p="http://schemas.microsoft.com/office/2006/metadata/properties" xmlns:ns2="1d747318-a58f-470c-9375-d276aaf7968e" xmlns:ns3="f9191736-df29-48f3-95b9-2fa480c65c90" targetNamespace="http://schemas.microsoft.com/office/2006/metadata/properties" ma:root="true" ma:fieldsID="816fc9fbf5a9f86937e052ff950c4d93" ns2:_="" ns3:_="">
    <xsd:import namespace="1d747318-a58f-470c-9375-d276aaf7968e"/>
    <xsd:import namespace="f9191736-df29-48f3-95b9-2fa480c65c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47318-a58f-470c-9375-d276aaf79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91736-df29-48f3-95b9-2fa480c65c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8FA17-FFA6-4220-B7C5-D7BCE4597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47318-a58f-470c-9375-d276aaf7968e"/>
    <ds:schemaRef ds:uri="f9191736-df29-48f3-95b9-2fa480c65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5807F-107B-43D5-B30E-C36E70D415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7A0070-907A-49AD-8998-0BDB32E2F2E6}">
  <ds:schemaRefs>
    <ds:schemaRef ds:uri="http://schemas.microsoft.com/sharepoint/v3/contenttype/forms"/>
  </ds:schemaRefs>
</ds:datastoreItem>
</file>

<file path=customXml/itemProps4.xml><?xml version="1.0" encoding="utf-8"?>
<ds:datastoreItem xmlns:ds="http://schemas.openxmlformats.org/officeDocument/2006/customXml" ds:itemID="{069174F9-A459-449D-BD7F-2C9E50703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EJP Consulting Group</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Epp</dc:creator>
  <cp:keywords/>
  <dc:description/>
  <cp:lastModifiedBy>Naomi Byrne</cp:lastModifiedBy>
  <cp:revision>3</cp:revision>
  <dcterms:created xsi:type="dcterms:W3CDTF">2018-12-07T16:10:00Z</dcterms:created>
  <dcterms:modified xsi:type="dcterms:W3CDTF">2018-12-07T16:12:00Z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0x010100ACA552F7E804D34FA4DB31A760DC6FD8</vt:lpwstr>
  </property>
  <property fmtid="{D5CDD505-2E9C-101B-9397-08002B2CF9AE}" pid="3" name="Order">
    <vt:r8>5558800</vt:r8>
  </property>
  <property fmtid="{D5CDD505-2E9C-101B-9397-08002B2CF9AE}" pid="4" name="_CopySource">
    <vt:lpwstr>https://ejpconsultinggroup-my.sharepoint.com/personal/archive_ejpconsultinggroup_com/Documents/test/Galveston/Master Developer Procurement/Evaluation Process/EVALUATION COMMITTEE Meeting 05 19 2011.docx</vt:lpwstr>
  </property>
</Properties>
</file>