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F1" w:rsidRDefault="00C945F1" w:rsidP="00C9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TDHCA Notice</w:t>
      </w:r>
    </w:p>
    <w:p w:rsidR="00C945F1" w:rsidRDefault="00C945F1" w:rsidP="00C9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bookmarkStart w:id="0" w:name="_GoBack"/>
      <w:bookmarkEnd w:id="0"/>
      <w:r>
        <w:rPr>
          <w:rFonts w:ascii="Courier" w:hAnsi="Courier" w:cs="Courier"/>
          <w:sz w:val="20"/>
          <w:szCs w:val="20"/>
        </w:rPr>
        <w:t>3/31/20</w:t>
      </w:r>
    </w:p>
    <w:p w:rsidR="00C945F1" w:rsidRDefault="00C945F1" w:rsidP="00C9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C945F1" w:rsidRPr="00C945F1" w:rsidRDefault="00C945F1" w:rsidP="00C9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C945F1">
        <w:rPr>
          <w:rFonts w:ascii="Courier" w:hAnsi="Courier" w:cs="Courier"/>
          <w:sz w:val="20"/>
          <w:szCs w:val="20"/>
        </w:rPr>
        <w:t xml:space="preserve">As a clarification of the temporary policy decision announced March 30, 2020, any non-enforcement by the Texas Department of Housing and Community Affairs (TDHCA) of its penalty, acceleration, or foreclosure options (on multifamily notes under its control) is expressly conditioned on the borrowers abstaining from evicting or initiating the eviction of tenants from a dwelling unit located in the applicable property because of the non-payment of rent or other fees or charges, and not charging late fees, penalties, or other charges for the late payment of rent. </w:t>
      </w:r>
    </w:p>
    <w:p w:rsidR="00887B60" w:rsidRDefault="00887B60"/>
    <w:sectPr w:rsidR="00887B60"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F1"/>
    <w:rsid w:val="00887B60"/>
    <w:rsid w:val="00C945F1"/>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945F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945F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2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Macintosh Word</Application>
  <DocSecurity>0</DocSecurity>
  <Lines>4</Lines>
  <Paragraphs>1</Paragraphs>
  <ScaleCrop>false</ScaleCrop>
  <Company>Texas Housing Association</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2020-04-01T14:01:00Z</dcterms:created>
  <dcterms:modified xsi:type="dcterms:W3CDTF">2020-04-01T14:02:00Z</dcterms:modified>
</cp:coreProperties>
</file>