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EB63" w14:textId="77777777" w:rsidR="004D7DAD" w:rsidRDefault="004D7DAD" w:rsidP="007278AB">
      <w:pPr>
        <w:spacing w:before="100" w:beforeAutospacing="1" w:after="100" w:afterAutospacing="1"/>
        <w:rPr>
          <w:rFonts w:cs="Arial"/>
          <w:color w:val="000000" w:themeColor="text1"/>
          <w:szCs w:val="24"/>
          <w:lang w:eastAsia="en-US"/>
        </w:rPr>
      </w:pPr>
      <w:r>
        <w:rPr>
          <w:rFonts w:cs="Arial"/>
          <w:color w:val="000000" w:themeColor="text1"/>
          <w:szCs w:val="24"/>
          <w:lang w:eastAsia="en-US"/>
        </w:rPr>
        <w:t>May, 2018</w:t>
      </w:r>
    </w:p>
    <w:p w14:paraId="2FCEC4D3" w14:textId="1E4DFACD" w:rsidR="007278AB" w:rsidRDefault="007278AB"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Do you provide Health insurance for your staff?  If so, what amount or percentage, if any, does the PHA pay?</w:t>
      </w:r>
    </w:p>
    <w:p w14:paraId="68C665A7" w14:textId="77777777" w:rsidR="004C2614" w:rsidRPr="00184199" w:rsidRDefault="004C2614" w:rsidP="007278AB">
      <w:pPr>
        <w:spacing w:before="100" w:beforeAutospacing="1" w:after="100" w:afterAutospacing="1"/>
        <w:rPr>
          <w:rFonts w:cs="Arial"/>
          <w:color w:val="000000" w:themeColor="text1"/>
          <w:szCs w:val="24"/>
          <w:lang w:eastAsia="en-US"/>
        </w:rPr>
      </w:pPr>
    </w:p>
    <w:p w14:paraId="058214C4" w14:textId="753218D9" w:rsidR="00AC41AB"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Paying 100% of employee medical:  32</w:t>
      </w:r>
    </w:p>
    <w:p w14:paraId="690231B9" w14:textId="22CA2662" w:rsidR="00685CA8"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Paying 75% if dependents included:  3</w:t>
      </w:r>
    </w:p>
    <w:p w14:paraId="1F2A3688" w14:textId="6FEA61DF" w:rsidR="00685CA8"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Paying 75% of dependents' share in addition to 100% of employee's:  2</w:t>
      </w:r>
    </w:p>
    <w:p w14:paraId="4F88A798" w14:textId="3DA6124D" w:rsidR="00685CA8"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Paying 65% of dependents' share in addition to 100% of employee's:  1</w:t>
      </w:r>
    </w:p>
    <w:p w14:paraId="45435A8A" w14:textId="03CF6613" w:rsidR="00685CA8"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Paying 50% of dependents' share in addition to 100% of employee's:  1</w:t>
      </w:r>
    </w:p>
    <w:p w14:paraId="3142D8B0" w14:textId="04631522" w:rsidR="00685CA8"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Indicated specifically that employees pay for their dependents:  9</w:t>
      </w:r>
    </w:p>
    <w:p w14:paraId="6B11F1C4" w14:textId="5E5414EE" w:rsidR="00685CA8" w:rsidRPr="00184199" w:rsidRDefault="00685CA8"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Indicated that they include dental and/or vision:  4</w:t>
      </w:r>
    </w:p>
    <w:p w14:paraId="2A61A8F9" w14:textId="2E76BAD7" w:rsidR="007278AB" w:rsidRPr="00184199" w:rsidRDefault="007278AB" w:rsidP="007278AB">
      <w:pPr>
        <w:spacing w:before="100" w:beforeAutospacing="1" w:after="100" w:afterAutospacing="1"/>
        <w:rPr>
          <w:rFonts w:eastAsia="Times New Roman" w:cs="Arial"/>
          <w:color w:val="000000" w:themeColor="text1"/>
          <w:szCs w:val="24"/>
        </w:rPr>
      </w:pPr>
      <w:r w:rsidRPr="00184199">
        <w:rPr>
          <w:rFonts w:cs="Arial"/>
          <w:color w:val="000000" w:themeColor="text1"/>
          <w:szCs w:val="24"/>
          <w:lang w:eastAsia="en-US"/>
        </w:rPr>
        <w:t> </w:t>
      </w:r>
      <w:r w:rsidR="00685CA8" w:rsidRPr="00184199">
        <w:rPr>
          <w:rFonts w:eastAsia="Times New Roman" w:cs="Arial"/>
          <w:color w:val="000000" w:themeColor="text1"/>
          <w:szCs w:val="24"/>
        </w:rPr>
        <w:t>Other responses:</w:t>
      </w:r>
    </w:p>
    <w:p w14:paraId="21F290F2" w14:textId="50A0D1F2" w:rsidR="00D70A48"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We provide health insura</w:t>
      </w:r>
      <w:r w:rsidR="00685CA8" w:rsidRPr="00184199">
        <w:rPr>
          <w:rFonts w:cs="Arial"/>
          <w:color w:val="000000" w:themeColor="text1"/>
          <w:szCs w:val="24"/>
          <w:lang w:eastAsia="en-US"/>
        </w:rPr>
        <w:t>nce and the employee pays half</w:t>
      </w:r>
      <w:r w:rsidR="00D70A48" w:rsidRPr="00184199">
        <w:rPr>
          <w:rFonts w:eastAsia="Times New Roman" w:cs="Arial"/>
          <w:color w:val="000000" w:themeColor="text1"/>
          <w:szCs w:val="24"/>
        </w:rPr>
        <w:t>. </w:t>
      </w:r>
    </w:p>
    <w:p w14:paraId="71AF50AE"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t>
      </w:r>
    </w:p>
    <w:p w14:paraId="6DB708F6"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Yes, we pay a flat contribution based on a base amount, an additional amount if tobacco free and an additional amount if participating in our Wellness Program and achieving a minimum level of points prior to the beginning of the health plan year.  The amounts are listed below-</w:t>
      </w:r>
    </w:p>
    <w:tbl>
      <w:tblPr>
        <w:tblW w:w="8205" w:type="dxa"/>
        <w:tblInd w:w="-15" w:type="dxa"/>
        <w:tblCellMar>
          <w:left w:w="0" w:type="dxa"/>
          <w:right w:w="0" w:type="dxa"/>
        </w:tblCellMar>
        <w:tblLook w:val="04A0" w:firstRow="1" w:lastRow="0" w:firstColumn="1" w:lastColumn="0" w:noHBand="0" w:noVBand="1"/>
      </w:tblPr>
      <w:tblGrid>
        <w:gridCol w:w="6000"/>
        <w:gridCol w:w="357"/>
        <w:gridCol w:w="1854"/>
      </w:tblGrid>
      <w:tr w:rsidR="00184199" w:rsidRPr="00184199" w14:paraId="456DEF47" w14:textId="77777777" w:rsidTr="001C4433">
        <w:trPr>
          <w:trHeight w:val="345"/>
        </w:trPr>
        <w:tc>
          <w:tcPr>
            <w:tcW w:w="6000" w:type="dxa"/>
            <w:noWrap/>
            <w:tcMar>
              <w:top w:w="0" w:type="dxa"/>
              <w:left w:w="108" w:type="dxa"/>
              <w:bottom w:w="0" w:type="dxa"/>
              <w:right w:w="108" w:type="dxa"/>
            </w:tcMar>
            <w:vAlign w:val="bottom"/>
            <w:hideMark/>
          </w:tcPr>
          <w:p w14:paraId="21DFB8FC"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b/>
                <w:bCs/>
                <w:color w:val="000000" w:themeColor="text1"/>
                <w:szCs w:val="24"/>
                <w:lang w:eastAsia="en-US"/>
              </w:rPr>
              <w:t>CTHC Funding Amount Single:</w:t>
            </w:r>
          </w:p>
        </w:tc>
        <w:tc>
          <w:tcPr>
            <w:tcW w:w="351" w:type="dxa"/>
            <w:noWrap/>
            <w:tcMar>
              <w:top w:w="0" w:type="dxa"/>
              <w:left w:w="108" w:type="dxa"/>
              <w:bottom w:w="0" w:type="dxa"/>
              <w:right w:w="108" w:type="dxa"/>
            </w:tcMar>
            <w:vAlign w:val="bottom"/>
            <w:hideMark/>
          </w:tcPr>
          <w:p w14:paraId="1EC85984" w14:textId="77777777" w:rsidR="001C4433" w:rsidRPr="00184199" w:rsidRDefault="001C4433" w:rsidP="001C4433">
            <w:pPr>
              <w:rPr>
                <w:rFonts w:eastAsia="Times New Roman" w:cs="Arial"/>
                <w:color w:val="000000" w:themeColor="text1"/>
                <w:szCs w:val="24"/>
                <w:lang w:eastAsia="en-US"/>
              </w:rPr>
            </w:pPr>
          </w:p>
        </w:tc>
        <w:tc>
          <w:tcPr>
            <w:tcW w:w="1854" w:type="dxa"/>
            <w:noWrap/>
            <w:tcMar>
              <w:top w:w="0" w:type="dxa"/>
              <w:left w:w="108" w:type="dxa"/>
              <w:bottom w:w="0" w:type="dxa"/>
              <w:right w:w="108" w:type="dxa"/>
            </w:tcMar>
            <w:vAlign w:val="bottom"/>
            <w:hideMark/>
          </w:tcPr>
          <w:p w14:paraId="071ED8C0" w14:textId="77777777" w:rsidR="001C4433" w:rsidRPr="00184199" w:rsidRDefault="001C4433" w:rsidP="001C4433">
            <w:pPr>
              <w:rPr>
                <w:rFonts w:eastAsia="Times New Roman" w:cs="Arial"/>
                <w:color w:val="000000" w:themeColor="text1"/>
                <w:szCs w:val="24"/>
                <w:lang w:eastAsia="en-US"/>
              </w:rPr>
            </w:pPr>
          </w:p>
        </w:tc>
      </w:tr>
      <w:tr w:rsidR="00184199" w:rsidRPr="00184199" w14:paraId="130EB59C" w14:textId="77777777" w:rsidTr="001C4433">
        <w:trPr>
          <w:trHeight w:val="345"/>
        </w:trPr>
        <w:tc>
          <w:tcPr>
            <w:tcW w:w="6000" w:type="dxa"/>
            <w:noWrap/>
            <w:tcMar>
              <w:top w:w="0" w:type="dxa"/>
              <w:left w:w="108" w:type="dxa"/>
              <w:bottom w:w="0" w:type="dxa"/>
              <w:right w:w="108" w:type="dxa"/>
            </w:tcMar>
            <w:vAlign w:val="bottom"/>
            <w:hideMark/>
          </w:tcPr>
          <w:p w14:paraId="2581531B"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Non tobacco user- enter $20.00 if applicable</w:t>
            </w:r>
          </w:p>
        </w:tc>
        <w:tc>
          <w:tcPr>
            <w:tcW w:w="351" w:type="dxa"/>
            <w:noWrap/>
            <w:tcMar>
              <w:top w:w="0" w:type="dxa"/>
              <w:left w:w="108" w:type="dxa"/>
              <w:bottom w:w="0" w:type="dxa"/>
              <w:right w:w="108" w:type="dxa"/>
            </w:tcMar>
            <w:vAlign w:val="bottom"/>
            <w:hideMark/>
          </w:tcPr>
          <w:p w14:paraId="6D5E0441" w14:textId="77777777" w:rsidR="001C4433" w:rsidRPr="00184199" w:rsidRDefault="001C4433" w:rsidP="001C4433">
            <w:pPr>
              <w:rPr>
                <w:rFonts w:eastAsia="Times New Roman" w:cs="Arial"/>
                <w:color w:val="000000" w:themeColor="text1"/>
                <w:szCs w:val="24"/>
                <w:lang w:eastAsia="en-US"/>
              </w:rPr>
            </w:pPr>
          </w:p>
        </w:tc>
        <w:tc>
          <w:tcPr>
            <w:tcW w:w="18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D61C76"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w:t>
            </w:r>
          </w:p>
        </w:tc>
      </w:tr>
      <w:tr w:rsidR="00184199" w:rsidRPr="00184199" w14:paraId="52B4C1E5" w14:textId="77777777" w:rsidTr="001C4433">
        <w:trPr>
          <w:trHeight w:val="345"/>
        </w:trPr>
        <w:tc>
          <w:tcPr>
            <w:tcW w:w="6000" w:type="dxa"/>
            <w:noWrap/>
            <w:tcMar>
              <w:top w:w="0" w:type="dxa"/>
              <w:left w:w="108" w:type="dxa"/>
              <w:bottom w:w="0" w:type="dxa"/>
              <w:right w:w="108" w:type="dxa"/>
            </w:tcMar>
            <w:vAlign w:val="bottom"/>
            <w:hideMark/>
          </w:tcPr>
          <w:p w14:paraId="3659D3E0"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Wellness participation- enter $50 if applicable</w:t>
            </w:r>
          </w:p>
        </w:tc>
        <w:tc>
          <w:tcPr>
            <w:tcW w:w="351" w:type="dxa"/>
            <w:noWrap/>
            <w:tcMar>
              <w:top w:w="0" w:type="dxa"/>
              <w:left w:w="108" w:type="dxa"/>
              <w:bottom w:w="0" w:type="dxa"/>
              <w:right w:w="108" w:type="dxa"/>
            </w:tcMar>
            <w:vAlign w:val="bottom"/>
            <w:hideMark/>
          </w:tcPr>
          <w:p w14:paraId="2F2206AD" w14:textId="77777777" w:rsidR="001C4433" w:rsidRPr="00184199" w:rsidRDefault="001C4433" w:rsidP="001C4433">
            <w:pPr>
              <w:rPr>
                <w:rFonts w:eastAsia="Times New Roman" w:cs="Arial"/>
                <w:color w:val="000000" w:themeColor="text1"/>
                <w:szCs w:val="24"/>
                <w:lang w:eastAsia="en-US"/>
              </w:rPr>
            </w:pPr>
          </w:p>
        </w:tc>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66ED92"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w:t>
            </w:r>
          </w:p>
        </w:tc>
      </w:tr>
      <w:tr w:rsidR="00184199" w:rsidRPr="00184199" w14:paraId="350DC7B4" w14:textId="77777777" w:rsidTr="001C4433">
        <w:trPr>
          <w:trHeight w:val="345"/>
        </w:trPr>
        <w:tc>
          <w:tcPr>
            <w:tcW w:w="6000" w:type="dxa"/>
            <w:noWrap/>
            <w:tcMar>
              <w:top w:w="0" w:type="dxa"/>
              <w:left w:w="108" w:type="dxa"/>
              <w:bottom w:w="0" w:type="dxa"/>
              <w:right w:w="108" w:type="dxa"/>
            </w:tcMar>
            <w:vAlign w:val="bottom"/>
            <w:hideMark/>
          </w:tcPr>
          <w:p w14:paraId="7B7F4F72"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Base amount CTHC will fund toward your premium:</w:t>
            </w:r>
          </w:p>
        </w:tc>
        <w:tc>
          <w:tcPr>
            <w:tcW w:w="351" w:type="dxa"/>
            <w:noWrap/>
            <w:tcMar>
              <w:top w:w="0" w:type="dxa"/>
              <w:left w:w="108" w:type="dxa"/>
              <w:bottom w:w="0" w:type="dxa"/>
              <w:right w:w="108" w:type="dxa"/>
            </w:tcMar>
            <w:vAlign w:val="bottom"/>
            <w:hideMark/>
          </w:tcPr>
          <w:p w14:paraId="5E17BFC6" w14:textId="77777777" w:rsidR="001C4433" w:rsidRPr="00184199" w:rsidRDefault="001C4433" w:rsidP="001C4433">
            <w:pPr>
              <w:rPr>
                <w:rFonts w:eastAsia="Times New Roman" w:cs="Arial"/>
                <w:color w:val="000000" w:themeColor="text1"/>
                <w:szCs w:val="24"/>
                <w:lang w:eastAsia="en-US"/>
              </w:rPr>
            </w:pPr>
          </w:p>
        </w:tc>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24F668"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xml:space="preserve">$         516.05 </w:t>
            </w:r>
          </w:p>
        </w:tc>
      </w:tr>
      <w:tr w:rsidR="00184199" w:rsidRPr="00184199" w14:paraId="5E177018" w14:textId="77777777" w:rsidTr="001C4433">
        <w:trPr>
          <w:trHeight w:val="345"/>
        </w:trPr>
        <w:tc>
          <w:tcPr>
            <w:tcW w:w="6000" w:type="dxa"/>
            <w:shd w:val="clear" w:color="auto" w:fill="FFFF00"/>
            <w:noWrap/>
            <w:tcMar>
              <w:top w:w="0" w:type="dxa"/>
              <w:left w:w="108" w:type="dxa"/>
              <w:bottom w:w="0" w:type="dxa"/>
              <w:right w:w="108" w:type="dxa"/>
            </w:tcMar>
            <w:vAlign w:val="bottom"/>
            <w:hideMark/>
          </w:tcPr>
          <w:p w14:paraId="6CB308A6"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Total CTHC Contribution (Add 3 amounts)</w:t>
            </w:r>
          </w:p>
        </w:tc>
        <w:tc>
          <w:tcPr>
            <w:tcW w:w="351" w:type="dxa"/>
            <w:noWrap/>
            <w:tcMar>
              <w:top w:w="0" w:type="dxa"/>
              <w:left w:w="108" w:type="dxa"/>
              <w:bottom w:w="0" w:type="dxa"/>
              <w:right w:w="108" w:type="dxa"/>
            </w:tcMar>
            <w:vAlign w:val="bottom"/>
            <w:hideMark/>
          </w:tcPr>
          <w:p w14:paraId="2B5FB45A"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b/>
                <w:bCs/>
                <w:color w:val="000000" w:themeColor="text1"/>
                <w:szCs w:val="24"/>
                <w:lang w:eastAsia="en-US"/>
              </w:rPr>
              <w:t>=</w:t>
            </w:r>
          </w:p>
        </w:tc>
        <w:tc>
          <w:tcPr>
            <w:tcW w:w="1854"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196B7D7"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w:t>
            </w:r>
          </w:p>
        </w:tc>
      </w:tr>
    </w:tbl>
    <w:p w14:paraId="44344360" w14:textId="44A2FEEA" w:rsidR="001C4433" w:rsidRPr="00184199" w:rsidRDefault="001C4433" w:rsidP="001C4433">
      <w:pPr>
        <w:spacing w:before="100" w:beforeAutospacing="1" w:after="100" w:afterAutospacing="1"/>
        <w:rPr>
          <w:rFonts w:cs="Arial"/>
          <w:color w:val="000000" w:themeColor="text1"/>
          <w:szCs w:val="24"/>
          <w:lang w:eastAsia="en-US"/>
        </w:rPr>
      </w:pPr>
    </w:p>
    <w:tbl>
      <w:tblPr>
        <w:tblW w:w="8211" w:type="dxa"/>
        <w:tblInd w:w="-15" w:type="dxa"/>
        <w:tblCellMar>
          <w:left w:w="0" w:type="dxa"/>
          <w:right w:w="0" w:type="dxa"/>
        </w:tblCellMar>
        <w:tblLook w:val="04A0" w:firstRow="1" w:lastRow="0" w:firstColumn="1" w:lastColumn="0" w:noHBand="0" w:noVBand="1"/>
      </w:tblPr>
      <w:tblGrid>
        <w:gridCol w:w="5780"/>
        <w:gridCol w:w="357"/>
        <w:gridCol w:w="2074"/>
      </w:tblGrid>
      <w:tr w:rsidR="00184199" w:rsidRPr="00184199" w14:paraId="215C8A11" w14:textId="77777777" w:rsidTr="00685CA8">
        <w:trPr>
          <w:trHeight w:val="345"/>
        </w:trPr>
        <w:tc>
          <w:tcPr>
            <w:tcW w:w="5780" w:type="dxa"/>
            <w:noWrap/>
            <w:tcMar>
              <w:top w:w="0" w:type="dxa"/>
              <w:left w:w="108" w:type="dxa"/>
              <w:bottom w:w="0" w:type="dxa"/>
              <w:right w:w="108" w:type="dxa"/>
            </w:tcMar>
            <w:vAlign w:val="bottom"/>
            <w:hideMark/>
          </w:tcPr>
          <w:p w14:paraId="2409A0FA"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b/>
                <w:bCs/>
                <w:color w:val="000000" w:themeColor="text1"/>
                <w:szCs w:val="24"/>
                <w:lang w:eastAsia="en-US"/>
              </w:rPr>
              <w:t>CTHC Funding Amount Family:</w:t>
            </w:r>
          </w:p>
        </w:tc>
        <w:tc>
          <w:tcPr>
            <w:tcW w:w="357" w:type="dxa"/>
            <w:noWrap/>
            <w:tcMar>
              <w:top w:w="0" w:type="dxa"/>
              <w:left w:w="108" w:type="dxa"/>
              <w:bottom w:w="0" w:type="dxa"/>
              <w:right w:w="108" w:type="dxa"/>
            </w:tcMar>
            <w:vAlign w:val="bottom"/>
            <w:hideMark/>
          </w:tcPr>
          <w:p w14:paraId="20716E44" w14:textId="77777777" w:rsidR="001C4433" w:rsidRPr="00184199" w:rsidRDefault="001C4433" w:rsidP="001C4433">
            <w:pPr>
              <w:rPr>
                <w:rFonts w:eastAsia="Times New Roman" w:cs="Arial"/>
                <w:color w:val="000000" w:themeColor="text1"/>
                <w:szCs w:val="24"/>
                <w:lang w:eastAsia="en-US"/>
              </w:rPr>
            </w:pPr>
          </w:p>
        </w:tc>
        <w:tc>
          <w:tcPr>
            <w:tcW w:w="2074" w:type="dxa"/>
            <w:noWrap/>
            <w:tcMar>
              <w:top w:w="0" w:type="dxa"/>
              <w:left w:w="108" w:type="dxa"/>
              <w:bottom w:w="0" w:type="dxa"/>
              <w:right w:w="108" w:type="dxa"/>
            </w:tcMar>
            <w:vAlign w:val="bottom"/>
            <w:hideMark/>
          </w:tcPr>
          <w:p w14:paraId="3A9FD935" w14:textId="77777777" w:rsidR="001C4433" w:rsidRPr="00184199" w:rsidRDefault="001C4433" w:rsidP="001C4433">
            <w:pPr>
              <w:rPr>
                <w:rFonts w:eastAsia="Times New Roman" w:cs="Arial"/>
                <w:color w:val="000000" w:themeColor="text1"/>
                <w:szCs w:val="24"/>
                <w:lang w:eastAsia="en-US"/>
              </w:rPr>
            </w:pPr>
          </w:p>
        </w:tc>
      </w:tr>
      <w:tr w:rsidR="00184199" w:rsidRPr="00184199" w14:paraId="53A833AD" w14:textId="77777777" w:rsidTr="00685CA8">
        <w:trPr>
          <w:trHeight w:val="345"/>
        </w:trPr>
        <w:tc>
          <w:tcPr>
            <w:tcW w:w="5780" w:type="dxa"/>
            <w:noWrap/>
            <w:tcMar>
              <w:top w:w="0" w:type="dxa"/>
              <w:left w:w="108" w:type="dxa"/>
              <w:bottom w:w="0" w:type="dxa"/>
              <w:right w:w="108" w:type="dxa"/>
            </w:tcMar>
            <w:vAlign w:val="bottom"/>
            <w:hideMark/>
          </w:tcPr>
          <w:p w14:paraId="76297069"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Non tobacco user- enter $40.00 if applicable</w:t>
            </w:r>
          </w:p>
        </w:tc>
        <w:tc>
          <w:tcPr>
            <w:tcW w:w="357" w:type="dxa"/>
            <w:noWrap/>
            <w:tcMar>
              <w:top w:w="0" w:type="dxa"/>
              <w:left w:w="108" w:type="dxa"/>
              <w:bottom w:w="0" w:type="dxa"/>
              <w:right w:w="108" w:type="dxa"/>
            </w:tcMar>
            <w:vAlign w:val="bottom"/>
            <w:hideMark/>
          </w:tcPr>
          <w:p w14:paraId="2ECA5BDD" w14:textId="77777777" w:rsidR="001C4433" w:rsidRPr="00184199" w:rsidRDefault="001C4433" w:rsidP="001C4433">
            <w:pPr>
              <w:rPr>
                <w:rFonts w:eastAsia="Times New Roman" w:cs="Arial"/>
                <w:color w:val="000000" w:themeColor="text1"/>
                <w:szCs w:val="24"/>
                <w:lang w:eastAsia="en-US"/>
              </w:rPr>
            </w:pPr>
          </w:p>
        </w:tc>
        <w:tc>
          <w:tcPr>
            <w:tcW w:w="20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330088"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w:t>
            </w:r>
          </w:p>
        </w:tc>
      </w:tr>
      <w:tr w:rsidR="00184199" w:rsidRPr="00184199" w14:paraId="6E6E0DDC" w14:textId="77777777" w:rsidTr="00685CA8">
        <w:trPr>
          <w:trHeight w:val="345"/>
        </w:trPr>
        <w:tc>
          <w:tcPr>
            <w:tcW w:w="5780" w:type="dxa"/>
            <w:noWrap/>
            <w:tcMar>
              <w:top w:w="0" w:type="dxa"/>
              <w:left w:w="108" w:type="dxa"/>
              <w:bottom w:w="0" w:type="dxa"/>
              <w:right w:w="108" w:type="dxa"/>
            </w:tcMar>
            <w:vAlign w:val="bottom"/>
            <w:hideMark/>
          </w:tcPr>
          <w:p w14:paraId="76D35E9E"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Wellness participation- enter $50 if applicable</w:t>
            </w:r>
          </w:p>
        </w:tc>
        <w:tc>
          <w:tcPr>
            <w:tcW w:w="357" w:type="dxa"/>
            <w:noWrap/>
            <w:tcMar>
              <w:top w:w="0" w:type="dxa"/>
              <w:left w:w="108" w:type="dxa"/>
              <w:bottom w:w="0" w:type="dxa"/>
              <w:right w:w="108" w:type="dxa"/>
            </w:tcMar>
            <w:vAlign w:val="bottom"/>
            <w:hideMark/>
          </w:tcPr>
          <w:p w14:paraId="25E1CD62" w14:textId="77777777" w:rsidR="001C4433" w:rsidRPr="00184199" w:rsidRDefault="001C4433" w:rsidP="001C4433">
            <w:pPr>
              <w:rPr>
                <w:rFonts w:eastAsia="Times New Roman" w:cs="Arial"/>
                <w:color w:val="000000" w:themeColor="text1"/>
                <w:szCs w:val="24"/>
                <w:lang w:eastAsia="en-US"/>
              </w:rPr>
            </w:pPr>
          </w:p>
        </w:tc>
        <w:tc>
          <w:tcPr>
            <w:tcW w:w="20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90F759"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w:t>
            </w:r>
          </w:p>
        </w:tc>
      </w:tr>
      <w:tr w:rsidR="00184199" w:rsidRPr="00184199" w14:paraId="085BEF5C" w14:textId="77777777" w:rsidTr="00685CA8">
        <w:trPr>
          <w:trHeight w:val="345"/>
        </w:trPr>
        <w:tc>
          <w:tcPr>
            <w:tcW w:w="5780" w:type="dxa"/>
            <w:noWrap/>
            <w:tcMar>
              <w:top w:w="0" w:type="dxa"/>
              <w:left w:w="108" w:type="dxa"/>
              <w:bottom w:w="0" w:type="dxa"/>
              <w:right w:w="108" w:type="dxa"/>
            </w:tcMar>
            <w:vAlign w:val="bottom"/>
            <w:hideMark/>
          </w:tcPr>
          <w:p w14:paraId="0F16ACC8"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lastRenderedPageBreak/>
              <w:t>Base amount CTHC will fund toward your premium:</w:t>
            </w:r>
          </w:p>
        </w:tc>
        <w:tc>
          <w:tcPr>
            <w:tcW w:w="357" w:type="dxa"/>
            <w:noWrap/>
            <w:tcMar>
              <w:top w:w="0" w:type="dxa"/>
              <w:left w:w="108" w:type="dxa"/>
              <w:bottom w:w="0" w:type="dxa"/>
              <w:right w:w="108" w:type="dxa"/>
            </w:tcMar>
            <w:vAlign w:val="bottom"/>
            <w:hideMark/>
          </w:tcPr>
          <w:p w14:paraId="73EF31DF" w14:textId="77777777" w:rsidR="001C4433" w:rsidRPr="00184199" w:rsidRDefault="001C4433" w:rsidP="001C4433">
            <w:pPr>
              <w:rPr>
                <w:rFonts w:eastAsia="Times New Roman" w:cs="Arial"/>
                <w:color w:val="000000" w:themeColor="text1"/>
                <w:szCs w:val="24"/>
                <w:lang w:eastAsia="en-US"/>
              </w:rPr>
            </w:pPr>
          </w:p>
        </w:tc>
        <w:tc>
          <w:tcPr>
            <w:tcW w:w="20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592136"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xml:space="preserve">$      1,017.43 </w:t>
            </w:r>
          </w:p>
        </w:tc>
      </w:tr>
      <w:tr w:rsidR="00184199" w:rsidRPr="00184199" w14:paraId="40FD27A5" w14:textId="77777777" w:rsidTr="00685CA8">
        <w:trPr>
          <w:trHeight w:val="345"/>
        </w:trPr>
        <w:tc>
          <w:tcPr>
            <w:tcW w:w="5780" w:type="dxa"/>
            <w:shd w:val="clear" w:color="auto" w:fill="FFFF00"/>
            <w:noWrap/>
            <w:tcMar>
              <w:top w:w="0" w:type="dxa"/>
              <w:left w:w="108" w:type="dxa"/>
              <w:bottom w:w="0" w:type="dxa"/>
              <w:right w:w="108" w:type="dxa"/>
            </w:tcMar>
            <w:vAlign w:val="bottom"/>
            <w:hideMark/>
          </w:tcPr>
          <w:p w14:paraId="49FA4EA0"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Total CTHC Contribution (Add 3 amounts)</w:t>
            </w:r>
          </w:p>
        </w:tc>
        <w:tc>
          <w:tcPr>
            <w:tcW w:w="357" w:type="dxa"/>
            <w:noWrap/>
            <w:tcMar>
              <w:top w:w="0" w:type="dxa"/>
              <w:left w:w="108" w:type="dxa"/>
              <w:bottom w:w="0" w:type="dxa"/>
              <w:right w:w="108" w:type="dxa"/>
            </w:tcMar>
            <w:vAlign w:val="bottom"/>
            <w:hideMark/>
          </w:tcPr>
          <w:p w14:paraId="22A71E6D"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b/>
                <w:bCs/>
                <w:color w:val="000000" w:themeColor="text1"/>
                <w:szCs w:val="24"/>
                <w:lang w:eastAsia="en-US"/>
              </w:rPr>
              <w:t>=</w:t>
            </w:r>
          </w:p>
        </w:tc>
        <w:tc>
          <w:tcPr>
            <w:tcW w:w="2074"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0470E53" w14:textId="77777777" w:rsidR="001C4433" w:rsidRPr="00184199" w:rsidRDefault="001C4433" w:rsidP="001C4433">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 </w:t>
            </w:r>
          </w:p>
        </w:tc>
      </w:tr>
    </w:tbl>
    <w:p w14:paraId="124E71EA" w14:textId="682E7B70" w:rsidR="001C4433" w:rsidRPr="00184199" w:rsidRDefault="001C4433" w:rsidP="007278AB">
      <w:pPr>
        <w:spacing w:before="100" w:beforeAutospacing="1" w:after="100" w:afterAutospacing="1"/>
        <w:rPr>
          <w:rFonts w:cs="Arial"/>
          <w:color w:val="000000" w:themeColor="text1"/>
          <w:szCs w:val="24"/>
          <w:lang w:eastAsia="en-US"/>
        </w:rPr>
      </w:pPr>
      <w:r w:rsidRPr="00184199">
        <w:rPr>
          <w:rFonts w:cs="Arial"/>
          <w:color w:val="000000" w:themeColor="text1"/>
          <w:szCs w:val="24"/>
          <w:lang w:eastAsia="en-US"/>
        </w:rPr>
        <w:t>***</w:t>
      </w:r>
    </w:p>
    <w:p w14:paraId="765D88DA" w14:textId="5A425978" w:rsidR="00D70A48" w:rsidRPr="00184199" w:rsidRDefault="00D70A48" w:rsidP="00D70A48">
      <w:pPr>
        <w:spacing w:before="100" w:beforeAutospacing="1" w:after="100" w:afterAutospacing="1"/>
        <w:rPr>
          <w:rFonts w:cs="Arial"/>
          <w:color w:val="000000" w:themeColor="text1"/>
          <w:szCs w:val="24"/>
          <w:lang w:eastAsia="en-US"/>
        </w:rPr>
      </w:pPr>
      <w:r w:rsidRPr="00184199">
        <w:rPr>
          <w:rFonts w:eastAsia="Times New Roman" w:cs="Arial"/>
          <w:color w:val="000000" w:themeColor="text1"/>
          <w:szCs w:val="24"/>
        </w:rPr>
        <w:t>Employee pays 15% and PHA pays 85% of premium for single coverage.  The employee pays 30% and PHA pays 70% of premium for family coverage.</w:t>
      </w:r>
    </w:p>
    <w:p w14:paraId="7D580F6C" w14:textId="3C1A3438" w:rsidR="00D70A4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54D4408B" w14:textId="545220AF" w:rsidR="00846A98" w:rsidRPr="00184199" w:rsidRDefault="001C4433" w:rsidP="00846A98">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have TMLMIEBP health insurance with a choice of five options. We currently pay up to $783.95 per employee which will fully cover three of the options. They can choose a higher cost option and pay the difference if they want. If they choose a lower cost option the difference goes into a health savings account for their use.</w:t>
      </w:r>
    </w:p>
    <w:p w14:paraId="3E6F2C02" w14:textId="49F81348" w:rsidR="00685CA8" w:rsidRPr="00184199" w:rsidRDefault="00685CA8" w:rsidP="00846A98">
      <w:pPr>
        <w:spacing w:before="100" w:beforeAutospacing="1" w:after="100" w:afterAutospacing="1"/>
        <w:rPr>
          <w:rFonts w:cs="Arial"/>
          <w:color w:val="000000" w:themeColor="text1"/>
          <w:szCs w:val="24"/>
          <w:lang w:eastAsia="en-US"/>
        </w:rPr>
      </w:pPr>
      <w:r w:rsidRPr="00184199">
        <w:rPr>
          <w:rFonts w:eastAsia="Times New Roman" w:cs="Arial"/>
          <w:color w:val="000000" w:themeColor="text1"/>
          <w:szCs w:val="24"/>
        </w:rPr>
        <w:t>***</w:t>
      </w:r>
    </w:p>
    <w:p w14:paraId="72278A01" w14:textId="2B6389E0" w:rsidR="00685CA8" w:rsidRPr="00184199" w:rsidRDefault="00685CA8" w:rsidP="00685CA8">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 xml:space="preserve">we pay </w:t>
      </w:r>
      <w:r w:rsidR="001C4433" w:rsidRPr="00184199">
        <w:rPr>
          <w:rFonts w:eastAsia="Times New Roman" w:cs="Arial"/>
          <w:color w:val="000000" w:themeColor="text1"/>
          <w:szCs w:val="24"/>
        </w:rPr>
        <w:t>60%  </w:t>
      </w:r>
      <w:r w:rsidRPr="00184199">
        <w:rPr>
          <w:rFonts w:eastAsia="Times New Roman" w:cs="Arial"/>
          <w:color w:val="000000" w:themeColor="text1"/>
          <w:szCs w:val="24"/>
        </w:rPr>
        <w:t>of employee premium</w:t>
      </w:r>
    </w:p>
    <w:p w14:paraId="4D0880BB" w14:textId="5A3F5C06" w:rsidR="00685CA8" w:rsidRPr="00184199" w:rsidRDefault="00685CA8" w:rsidP="00685CA8">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7EB24D20" w14:textId="24AD14F1" w:rsidR="0067691B" w:rsidRPr="00184199" w:rsidRDefault="00846A98" w:rsidP="00846A98">
      <w:pPr>
        <w:pStyle w:val="ListParagraph"/>
        <w:rPr>
          <w:rFonts w:ascii="Arial" w:hAnsi="Arial" w:cs="Arial"/>
          <w:color w:val="000000" w:themeColor="text1"/>
          <w:sz w:val="24"/>
          <w:szCs w:val="24"/>
        </w:rPr>
      </w:pPr>
      <w:r w:rsidRPr="00184199">
        <w:rPr>
          <w:rFonts w:ascii="Arial" w:hAnsi="Arial" w:cs="Arial"/>
          <w:color w:val="000000" w:themeColor="text1"/>
          <w:sz w:val="24"/>
          <w:szCs w:val="24"/>
        </w:rPr>
        <w:t>We provided health insurance and paid the full amount for each employee but because of the rising cost we are going to discontinue paying. We paid it for four years and next month will be the last month we pay.</w:t>
      </w:r>
    </w:p>
    <w:p w14:paraId="4BBA4711" w14:textId="44453ECD" w:rsidR="00685CA8" w:rsidRPr="00184199" w:rsidRDefault="00685CA8" w:rsidP="00846A98">
      <w:pPr>
        <w:pStyle w:val="ListParagraph"/>
        <w:rPr>
          <w:rFonts w:ascii="Arial" w:hAnsi="Arial" w:cs="Arial"/>
          <w:color w:val="000000" w:themeColor="text1"/>
          <w:sz w:val="24"/>
          <w:szCs w:val="24"/>
        </w:rPr>
      </w:pPr>
      <w:r w:rsidRPr="00184199">
        <w:rPr>
          <w:rFonts w:ascii="Arial" w:hAnsi="Arial" w:cs="Arial"/>
          <w:color w:val="000000" w:themeColor="text1"/>
          <w:sz w:val="24"/>
          <w:szCs w:val="24"/>
        </w:rPr>
        <w:t>***</w:t>
      </w:r>
    </w:p>
    <w:p w14:paraId="1945CBF3" w14:textId="6DF018E5" w:rsidR="0067691B" w:rsidRPr="00184199" w:rsidRDefault="0067691B" w:rsidP="00685CA8">
      <w:pPr>
        <w:rPr>
          <w:rFonts w:eastAsia="Times New Roman" w:cs="Arial"/>
          <w:color w:val="000000" w:themeColor="text1"/>
          <w:szCs w:val="24"/>
          <w:lang w:eastAsia="en-US"/>
        </w:rPr>
      </w:pPr>
      <w:r w:rsidRPr="00184199">
        <w:rPr>
          <w:rFonts w:cs="Arial"/>
          <w:color w:val="000000" w:themeColor="text1"/>
          <w:szCs w:val="24"/>
          <w:lang w:eastAsia="en-US"/>
        </w:rPr>
        <w:t>Employee’s premiums paid 100% by housing authority (employee pays for any dependent coverage)</w:t>
      </w:r>
      <w:r w:rsidR="00685CA8" w:rsidRPr="00184199">
        <w:rPr>
          <w:rFonts w:cs="Arial"/>
          <w:color w:val="000000" w:themeColor="text1"/>
          <w:szCs w:val="24"/>
          <w:lang w:eastAsia="en-US"/>
        </w:rPr>
        <w:t xml:space="preserve">  </w:t>
      </w:r>
      <w:r w:rsidRPr="00184199">
        <w:rPr>
          <w:rFonts w:eastAsia="Times New Roman" w:cs="Arial"/>
          <w:color w:val="000000" w:themeColor="text1"/>
          <w:szCs w:val="24"/>
          <w:lang w:eastAsia="en-US"/>
        </w:rPr>
        <w:t>July 1</w:t>
      </w:r>
      <w:r w:rsidRPr="00184199">
        <w:rPr>
          <w:rFonts w:eastAsia="Times New Roman" w:cs="Arial"/>
          <w:color w:val="000000" w:themeColor="text1"/>
          <w:szCs w:val="24"/>
          <w:vertAlign w:val="superscript"/>
          <w:lang w:eastAsia="en-US"/>
        </w:rPr>
        <w:t>st</w:t>
      </w:r>
      <w:r w:rsidRPr="00184199">
        <w:rPr>
          <w:rFonts w:eastAsia="Times New Roman" w:cs="Arial"/>
          <w:color w:val="000000" w:themeColor="text1"/>
          <w:szCs w:val="24"/>
          <w:lang w:eastAsia="en-US"/>
        </w:rPr>
        <w:t xml:space="preserve"> TML insurance is going up to $1168.28 per month per employee for medical, dental, vision and $30,000 life insurance</w:t>
      </w:r>
    </w:p>
    <w:p w14:paraId="3FA15C7E" w14:textId="77777777" w:rsidR="00685CA8" w:rsidRPr="00184199" w:rsidRDefault="00685CA8" w:rsidP="00685CA8">
      <w:pPr>
        <w:rPr>
          <w:rFonts w:eastAsia="Times New Roman" w:cs="Arial"/>
          <w:color w:val="000000" w:themeColor="text1"/>
          <w:szCs w:val="24"/>
          <w:lang w:eastAsia="en-US"/>
        </w:rPr>
      </w:pPr>
    </w:p>
    <w:p w14:paraId="67077853" w14:textId="77777777" w:rsidR="00685CA8" w:rsidRPr="00184199" w:rsidRDefault="00685CA8" w:rsidP="00685CA8">
      <w:pPr>
        <w:rPr>
          <w:rFonts w:eastAsia="Times New Roman" w:cs="Arial"/>
          <w:color w:val="000000" w:themeColor="text1"/>
          <w:szCs w:val="24"/>
          <w:lang w:eastAsia="en-US"/>
        </w:rPr>
      </w:pPr>
      <w:r w:rsidRPr="00184199">
        <w:rPr>
          <w:rFonts w:eastAsia="Times New Roman" w:cs="Arial"/>
          <w:color w:val="000000" w:themeColor="text1"/>
          <w:szCs w:val="24"/>
          <w:lang w:eastAsia="en-US"/>
        </w:rPr>
        <w:t>***</w:t>
      </w:r>
    </w:p>
    <w:p w14:paraId="6E509BCB" w14:textId="249FF686" w:rsidR="002E66A3" w:rsidRPr="00184199" w:rsidRDefault="002E66A3" w:rsidP="00685CA8">
      <w:pPr>
        <w:rPr>
          <w:rFonts w:eastAsia="Times New Roman" w:cs="Arial"/>
          <w:color w:val="000000" w:themeColor="text1"/>
          <w:szCs w:val="24"/>
        </w:rPr>
      </w:pPr>
      <w:r w:rsidRPr="00184199">
        <w:rPr>
          <w:rFonts w:eastAsia="Times New Roman" w:cs="Arial"/>
          <w:color w:val="000000" w:themeColor="text1"/>
          <w:szCs w:val="24"/>
        </w:rPr>
        <w:t>No insurance</w:t>
      </w:r>
    </w:p>
    <w:p w14:paraId="29E2ED1F" w14:textId="77777777" w:rsidR="00685CA8" w:rsidRPr="00184199" w:rsidRDefault="00685CA8" w:rsidP="00685CA8">
      <w:pPr>
        <w:rPr>
          <w:rFonts w:eastAsia="Times New Roman" w:cs="Arial"/>
          <w:color w:val="000000" w:themeColor="text1"/>
          <w:szCs w:val="24"/>
        </w:rPr>
      </w:pPr>
    </w:p>
    <w:p w14:paraId="27C13B83" w14:textId="3B14D959" w:rsidR="00685CA8" w:rsidRPr="00184199" w:rsidRDefault="00685CA8" w:rsidP="00685CA8">
      <w:pPr>
        <w:rPr>
          <w:rFonts w:eastAsia="Times New Roman" w:cs="Arial"/>
          <w:color w:val="000000" w:themeColor="text1"/>
          <w:szCs w:val="24"/>
          <w:lang w:eastAsia="en-US"/>
        </w:rPr>
      </w:pPr>
      <w:r w:rsidRPr="00184199">
        <w:rPr>
          <w:rFonts w:eastAsia="Times New Roman" w:cs="Arial"/>
          <w:color w:val="000000" w:themeColor="text1"/>
          <w:szCs w:val="24"/>
        </w:rPr>
        <w:t>***</w:t>
      </w:r>
    </w:p>
    <w:p w14:paraId="25759EB4" w14:textId="77777777" w:rsidR="002E66A3" w:rsidRPr="00184199" w:rsidRDefault="002E66A3"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are part of the County.  Employee is covered 100% for low option.  High Option Employee pays $ 75.00/mo or so</w:t>
      </w:r>
    </w:p>
    <w:p w14:paraId="01AF842D" w14:textId="456E5185" w:rsidR="00685CA8" w:rsidRPr="00184199" w:rsidRDefault="00685CA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t>
      </w:r>
    </w:p>
    <w:p w14:paraId="7A3F26D4" w14:textId="77777777" w:rsidR="00D70A48" w:rsidRPr="00184199" w:rsidRDefault="00D70A48" w:rsidP="007278AB">
      <w:pPr>
        <w:spacing w:before="100" w:beforeAutospacing="1" w:after="100" w:afterAutospacing="1"/>
        <w:rPr>
          <w:rFonts w:eastAsia="Times New Roman" w:cs="Arial"/>
          <w:color w:val="000000" w:themeColor="text1"/>
          <w:szCs w:val="24"/>
        </w:rPr>
      </w:pPr>
      <w:r w:rsidRPr="00184199">
        <w:rPr>
          <w:rFonts w:eastAsia="Times New Roman" w:cs="Arial"/>
          <w:color w:val="000000" w:themeColor="text1"/>
          <w:szCs w:val="24"/>
        </w:rPr>
        <w:t>We provide Medical, Dental and Vision, PHA pays whole premium, employee pays $500 a year toward premium, taken out of their checks</w:t>
      </w:r>
    </w:p>
    <w:p w14:paraId="776F6FF1" w14:textId="77777777" w:rsidR="007278AB" w:rsidRPr="00184199" w:rsidRDefault="007278AB">
      <w:pPr>
        <w:rPr>
          <w:rFonts w:cs="Arial"/>
          <w:color w:val="000000" w:themeColor="text1"/>
          <w:szCs w:val="24"/>
        </w:rPr>
      </w:pPr>
      <w:bookmarkStart w:id="0" w:name="_GoBack"/>
      <w:bookmarkEnd w:id="0"/>
    </w:p>
    <w:sectPr w:rsidR="007278AB" w:rsidRPr="00184199" w:rsidSect="0072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AB"/>
    <w:rsid w:val="00093362"/>
    <w:rsid w:val="001305B2"/>
    <w:rsid w:val="00137200"/>
    <w:rsid w:val="00153FAB"/>
    <w:rsid w:val="00184199"/>
    <w:rsid w:val="001C3690"/>
    <w:rsid w:val="001C4433"/>
    <w:rsid w:val="00263C1B"/>
    <w:rsid w:val="002E66A3"/>
    <w:rsid w:val="00366B51"/>
    <w:rsid w:val="004C2614"/>
    <w:rsid w:val="004D7DAD"/>
    <w:rsid w:val="00596BB5"/>
    <w:rsid w:val="0067691B"/>
    <w:rsid w:val="00685CA8"/>
    <w:rsid w:val="006D2763"/>
    <w:rsid w:val="006D73FC"/>
    <w:rsid w:val="007278AB"/>
    <w:rsid w:val="007B70EB"/>
    <w:rsid w:val="00846A98"/>
    <w:rsid w:val="00942BA2"/>
    <w:rsid w:val="009964AB"/>
    <w:rsid w:val="00A2719B"/>
    <w:rsid w:val="00AC41AB"/>
    <w:rsid w:val="00B94DEB"/>
    <w:rsid w:val="00C80894"/>
    <w:rsid w:val="00CB40DE"/>
    <w:rsid w:val="00D70A48"/>
    <w:rsid w:val="00D76EA0"/>
    <w:rsid w:val="00D94E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00D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98"/>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8317">
      <w:bodyDiv w:val="1"/>
      <w:marLeft w:val="0"/>
      <w:marRight w:val="0"/>
      <w:marTop w:val="0"/>
      <w:marBottom w:val="0"/>
      <w:divBdr>
        <w:top w:val="none" w:sz="0" w:space="0" w:color="auto"/>
        <w:left w:val="none" w:sz="0" w:space="0" w:color="auto"/>
        <w:bottom w:val="none" w:sz="0" w:space="0" w:color="auto"/>
        <w:right w:val="none" w:sz="0" w:space="0" w:color="auto"/>
      </w:divBdr>
    </w:div>
    <w:div w:id="384447812">
      <w:bodyDiv w:val="1"/>
      <w:marLeft w:val="0"/>
      <w:marRight w:val="0"/>
      <w:marTop w:val="0"/>
      <w:marBottom w:val="0"/>
      <w:divBdr>
        <w:top w:val="none" w:sz="0" w:space="0" w:color="auto"/>
        <w:left w:val="none" w:sz="0" w:space="0" w:color="auto"/>
        <w:bottom w:val="none" w:sz="0" w:space="0" w:color="auto"/>
        <w:right w:val="none" w:sz="0" w:space="0" w:color="auto"/>
      </w:divBdr>
    </w:div>
    <w:div w:id="511379090">
      <w:bodyDiv w:val="1"/>
      <w:marLeft w:val="0"/>
      <w:marRight w:val="0"/>
      <w:marTop w:val="0"/>
      <w:marBottom w:val="0"/>
      <w:divBdr>
        <w:top w:val="none" w:sz="0" w:space="0" w:color="auto"/>
        <w:left w:val="none" w:sz="0" w:space="0" w:color="auto"/>
        <w:bottom w:val="none" w:sz="0" w:space="0" w:color="auto"/>
        <w:right w:val="none" w:sz="0" w:space="0" w:color="auto"/>
      </w:divBdr>
    </w:div>
    <w:div w:id="616957027">
      <w:bodyDiv w:val="1"/>
      <w:marLeft w:val="0"/>
      <w:marRight w:val="0"/>
      <w:marTop w:val="0"/>
      <w:marBottom w:val="0"/>
      <w:divBdr>
        <w:top w:val="none" w:sz="0" w:space="0" w:color="auto"/>
        <w:left w:val="none" w:sz="0" w:space="0" w:color="auto"/>
        <w:bottom w:val="none" w:sz="0" w:space="0" w:color="auto"/>
        <w:right w:val="none" w:sz="0" w:space="0" w:color="auto"/>
      </w:divBdr>
    </w:div>
    <w:div w:id="688029132">
      <w:bodyDiv w:val="1"/>
      <w:marLeft w:val="0"/>
      <w:marRight w:val="0"/>
      <w:marTop w:val="0"/>
      <w:marBottom w:val="0"/>
      <w:divBdr>
        <w:top w:val="none" w:sz="0" w:space="0" w:color="auto"/>
        <w:left w:val="none" w:sz="0" w:space="0" w:color="auto"/>
        <w:bottom w:val="none" w:sz="0" w:space="0" w:color="auto"/>
        <w:right w:val="none" w:sz="0" w:space="0" w:color="auto"/>
      </w:divBdr>
    </w:div>
    <w:div w:id="770708106">
      <w:bodyDiv w:val="1"/>
      <w:marLeft w:val="0"/>
      <w:marRight w:val="0"/>
      <w:marTop w:val="0"/>
      <w:marBottom w:val="0"/>
      <w:divBdr>
        <w:top w:val="none" w:sz="0" w:space="0" w:color="auto"/>
        <w:left w:val="none" w:sz="0" w:space="0" w:color="auto"/>
        <w:bottom w:val="none" w:sz="0" w:space="0" w:color="auto"/>
        <w:right w:val="none" w:sz="0" w:space="0" w:color="auto"/>
      </w:divBdr>
    </w:div>
    <w:div w:id="811403816">
      <w:bodyDiv w:val="1"/>
      <w:marLeft w:val="0"/>
      <w:marRight w:val="0"/>
      <w:marTop w:val="0"/>
      <w:marBottom w:val="0"/>
      <w:divBdr>
        <w:top w:val="none" w:sz="0" w:space="0" w:color="auto"/>
        <w:left w:val="none" w:sz="0" w:space="0" w:color="auto"/>
        <w:bottom w:val="none" w:sz="0" w:space="0" w:color="auto"/>
        <w:right w:val="none" w:sz="0" w:space="0" w:color="auto"/>
      </w:divBdr>
    </w:div>
    <w:div w:id="887960206">
      <w:bodyDiv w:val="1"/>
      <w:marLeft w:val="0"/>
      <w:marRight w:val="0"/>
      <w:marTop w:val="0"/>
      <w:marBottom w:val="0"/>
      <w:divBdr>
        <w:top w:val="none" w:sz="0" w:space="0" w:color="auto"/>
        <w:left w:val="none" w:sz="0" w:space="0" w:color="auto"/>
        <w:bottom w:val="none" w:sz="0" w:space="0" w:color="auto"/>
        <w:right w:val="none" w:sz="0" w:space="0" w:color="auto"/>
      </w:divBdr>
    </w:div>
    <w:div w:id="962347606">
      <w:bodyDiv w:val="1"/>
      <w:marLeft w:val="0"/>
      <w:marRight w:val="0"/>
      <w:marTop w:val="0"/>
      <w:marBottom w:val="0"/>
      <w:divBdr>
        <w:top w:val="none" w:sz="0" w:space="0" w:color="auto"/>
        <w:left w:val="none" w:sz="0" w:space="0" w:color="auto"/>
        <w:bottom w:val="none" w:sz="0" w:space="0" w:color="auto"/>
        <w:right w:val="none" w:sz="0" w:space="0" w:color="auto"/>
      </w:divBdr>
    </w:div>
    <w:div w:id="1250701363">
      <w:bodyDiv w:val="1"/>
      <w:marLeft w:val="0"/>
      <w:marRight w:val="0"/>
      <w:marTop w:val="0"/>
      <w:marBottom w:val="0"/>
      <w:divBdr>
        <w:top w:val="none" w:sz="0" w:space="0" w:color="auto"/>
        <w:left w:val="none" w:sz="0" w:space="0" w:color="auto"/>
        <w:bottom w:val="none" w:sz="0" w:space="0" w:color="auto"/>
        <w:right w:val="none" w:sz="0" w:space="0" w:color="auto"/>
      </w:divBdr>
    </w:div>
    <w:div w:id="1412117857">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67901761">
      <w:bodyDiv w:val="1"/>
      <w:marLeft w:val="0"/>
      <w:marRight w:val="0"/>
      <w:marTop w:val="0"/>
      <w:marBottom w:val="0"/>
      <w:divBdr>
        <w:top w:val="none" w:sz="0" w:space="0" w:color="auto"/>
        <w:left w:val="none" w:sz="0" w:space="0" w:color="auto"/>
        <w:bottom w:val="none" w:sz="0" w:space="0" w:color="auto"/>
        <w:right w:val="none" w:sz="0" w:space="0" w:color="auto"/>
      </w:divBdr>
    </w:div>
    <w:div w:id="1756241125">
      <w:bodyDiv w:val="1"/>
      <w:marLeft w:val="0"/>
      <w:marRight w:val="0"/>
      <w:marTop w:val="0"/>
      <w:marBottom w:val="0"/>
      <w:divBdr>
        <w:top w:val="none" w:sz="0" w:space="0" w:color="auto"/>
        <w:left w:val="none" w:sz="0" w:space="0" w:color="auto"/>
        <w:bottom w:val="none" w:sz="0" w:space="0" w:color="auto"/>
        <w:right w:val="none" w:sz="0" w:space="0" w:color="auto"/>
      </w:divBdr>
    </w:div>
    <w:div w:id="1788281639">
      <w:bodyDiv w:val="1"/>
      <w:marLeft w:val="0"/>
      <w:marRight w:val="0"/>
      <w:marTop w:val="0"/>
      <w:marBottom w:val="0"/>
      <w:divBdr>
        <w:top w:val="none" w:sz="0" w:space="0" w:color="auto"/>
        <w:left w:val="none" w:sz="0" w:space="0" w:color="auto"/>
        <w:bottom w:val="none" w:sz="0" w:space="0" w:color="auto"/>
        <w:right w:val="none" w:sz="0" w:space="0" w:color="auto"/>
      </w:divBdr>
    </w:div>
    <w:div w:id="2080590025">
      <w:bodyDiv w:val="1"/>
      <w:marLeft w:val="0"/>
      <w:marRight w:val="0"/>
      <w:marTop w:val="0"/>
      <w:marBottom w:val="0"/>
      <w:divBdr>
        <w:top w:val="none" w:sz="0" w:space="0" w:color="auto"/>
        <w:left w:val="none" w:sz="0" w:space="0" w:color="auto"/>
        <w:bottom w:val="none" w:sz="0" w:space="0" w:color="auto"/>
        <w:right w:val="none" w:sz="0" w:space="0" w:color="auto"/>
      </w:divBdr>
    </w:div>
    <w:div w:id="2138138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cp:lastPrinted>2018-05-03T15:01:00Z</cp:lastPrinted>
  <dcterms:created xsi:type="dcterms:W3CDTF">2018-05-09T20:37:00Z</dcterms:created>
  <dcterms:modified xsi:type="dcterms:W3CDTF">2018-05-09T20:37:00Z</dcterms:modified>
</cp:coreProperties>
</file>