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3" w:rsidRDefault="00D461C3" w:rsidP="00AF5959">
      <w:pPr>
        <w:pStyle w:val="Default"/>
        <w:contextualSpacing/>
      </w:pPr>
    </w:p>
    <w:p w:rsidR="00F3795D" w:rsidRDefault="00F3795D" w:rsidP="00AF5959">
      <w:pPr>
        <w:pStyle w:val="CM27"/>
        <w:contextualSpacing/>
      </w:pPr>
    </w:p>
    <w:p w:rsidR="00F3795D" w:rsidRDefault="00F3795D" w:rsidP="00AF5959">
      <w:pPr>
        <w:pStyle w:val="CM27"/>
        <w:contextualSpacing/>
      </w:pPr>
    </w:p>
    <w:p w:rsidR="00F3795D" w:rsidRDefault="00F3795D" w:rsidP="00AF5959">
      <w:pPr>
        <w:pStyle w:val="CM27"/>
        <w:contextualSpacing/>
      </w:pPr>
    </w:p>
    <w:p w:rsidR="00F3795D" w:rsidRDefault="00F3795D" w:rsidP="00AF5959">
      <w:pPr>
        <w:pStyle w:val="CM27"/>
        <w:contextualSpacing/>
      </w:pPr>
    </w:p>
    <w:p w:rsidR="00F3795D" w:rsidRDefault="00F3795D" w:rsidP="00AF5959">
      <w:pPr>
        <w:pStyle w:val="CM27"/>
        <w:contextualSpacing/>
      </w:pPr>
    </w:p>
    <w:p w:rsidR="00F3795D" w:rsidRDefault="00F3795D" w:rsidP="00AF5959">
      <w:pPr>
        <w:pStyle w:val="CM27"/>
        <w:contextualSpacing/>
      </w:pPr>
    </w:p>
    <w:p w:rsidR="00F3795D" w:rsidRDefault="00F3795D" w:rsidP="00AF5959">
      <w:pPr>
        <w:pStyle w:val="CM27"/>
        <w:contextualSpacing/>
      </w:pPr>
    </w:p>
    <w:p w:rsidR="00F3795D" w:rsidRDefault="00A30969" w:rsidP="00AF5959">
      <w:pPr>
        <w:pStyle w:val="CM27"/>
        <w:contextualSpacing/>
        <w:jc w:val="center"/>
        <w:rPr>
          <w:rFonts w:ascii="Times New Roman" w:hAnsi="Times New Roman" w:cs="Times New Roman"/>
          <w:b/>
          <w:caps/>
          <w:color w:val="000000"/>
          <w:sz w:val="36"/>
          <w:szCs w:val="36"/>
        </w:rPr>
      </w:pPr>
      <w:r w:rsidRPr="00F3795D">
        <w:rPr>
          <w:rFonts w:ascii="Times New Roman" w:hAnsi="Times New Roman" w:cs="Times New Roman"/>
          <w:b/>
          <w:caps/>
          <w:color w:val="000000"/>
          <w:sz w:val="36"/>
          <w:szCs w:val="36"/>
        </w:rPr>
        <w:t>HOUSING AUTHORITY OF</w:t>
      </w:r>
    </w:p>
    <w:p w:rsidR="00141B2F" w:rsidRPr="00F3795D" w:rsidRDefault="00A30969" w:rsidP="00AF5959">
      <w:pPr>
        <w:pStyle w:val="CM27"/>
        <w:contextualSpacing/>
        <w:jc w:val="center"/>
      </w:pPr>
      <w:r w:rsidRPr="00F3795D">
        <w:rPr>
          <w:rFonts w:ascii="Times New Roman" w:hAnsi="Times New Roman" w:cs="Times New Roman"/>
          <w:b/>
          <w:caps/>
          <w:color w:val="000000"/>
          <w:sz w:val="36"/>
          <w:szCs w:val="36"/>
        </w:rPr>
        <w:t>TEXARKANA, TEXAS</w:t>
      </w:r>
    </w:p>
    <w:p w:rsidR="00F3795D" w:rsidRDefault="00F3795D" w:rsidP="00AF5959">
      <w:pPr>
        <w:pStyle w:val="CM27"/>
        <w:contextualSpacing/>
        <w:jc w:val="center"/>
        <w:rPr>
          <w:rFonts w:ascii="Times New Roman" w:hAnsi="Times New Roman" w:cs="Times New Roman"/>
          <w:b/>
          <w:caps/>
          <w:color w:val="000000"/>
          <w:sz w:val="36"/>
          <w:szCs w:val="36"/>
        </w:rPr>
      </w:pPr>
    </w:p>
    <w:p w:rsidR="00F3795D" w:rsidRDefault="00F3795D" w:rsidP="00AF5959">
      <w:pPr>
        <w:pStyle w:val="CM27"/>
        <w:contextualSpacing/>
        <w:jc w:val="center"/>
        <w:rPr>
          <w:rFonts w:ascii="Times New Roman" w:hAnsi="Times New Roman" w:cs="Times New Roman"/>
          <w:b/>
          <w:caps/>
          <w:color w:val="000000"/>
          <w:sz w:val="36"/>
          <w:szCs w:val="36"/>
        </w:rPr>
      </w:pPr>
    </w:p>
    <w:p w:rsidR="00F3795D" w:rsidRDefault="00F3795D" w:rsidP="00AF5959">
      <w:pPr>
        <w:pStyle w:val="CM27"/>
        <w:contextualSpacing/>
        <w:jc w:val="center"/>
        <w:rPr>
          <w:rFonts w:ascii="Times New Roman" w:hAnsi="Times New Roman" w:cs="Times New Roman"/>
          <w:b/>
          <w:caps/>
          <w:color w:val="000000"/>
          <w:sz w:val="36"/>
          <w:szCs w:val="36"/>
        </w:rPr>
      </w:pPr>
    </w:p>
    <w:p w:rsidR="00F3795D" w:rsidRDefault="00A30969" w:rsidP="00AF5959">
      <w:pPr>
        <w:pStyle w:val="CM27"/>
        <w:contextualSpacing/>
        <w:jc w:val="center"/>
        <w:rPr>
          <w:rFonts w:ascii="Times New Roman" w:hAnsi="Times New Roman" w:cs="Times New Roman"/>
          <w:b/>
          <w:caps/>
          <w:color w:val="000000"/>
          <w:sz w:val="36"/>
          <w:szCs w:val="36"/>
        </w:rPr>
      </w:pPr>
      <w:r w:rsidRPr="00F3795D">
        <w:rPr>
          <w:rFonts w:ascii="Times New Roman" w:hAnsi="Times New Roman" w:cs="Times New Roman"/>
          <w:b/>
          <w:caps/>
          <w:color w:val="000000"/>
          <w:sz w:val="36"/>
          <w:szCs w:val="36"/>
        </w:rPr>
        <w:t>Cost Distribution and</w:t>
      </w:r>
    </w:p>
    <w:p w:rsidR="00D461C3" w:rsidRDefault="00A30969" w:rsidP="00AF5959">
      <w:pPr>
        <w:pStyle w:val="CM27"/>
        <w:contextualSpacing/>
        <w:jc w:val="center"/>
        <w:rPr>
          <w:rFonts w:ascii="Times New Roman" w:hAnsi="Times New Roman" w:cs="Times New Roman"/>
          <w:b/>
          <w:caps/>
          <w:color w:val="000000"/>
          <w:sz w:val="36"/>
          <w:szCs w:val="36"/>
        </w:rPr>
      </w:pPr>
      <w:r w:rsidRPr="00F3795D">
        <w:rPr>
          <w:rFonts w:ascii="Times New Roman" w:hAnsi="Times New Roman" w:cs="Times New Roman"/>
          <w:b/>
          <w:caps/>
          <w:color w:val="000000"/>
          <w:sz w:val="36"/>
          <w:szCs w:val="36"/>
        </w:rPr>
        <w:t>Fee Recovery Plan</w:t>
      </w:r>
    </w:p>
    <w:p w:rsidR="00DF67D1" w:rsidRDefault="00DF67D1">
      <w:pPr>
        <w:rPr>
          <w:rFonts w:ascii="Arial" w:hAnsi="Arial" w:cs="Arial"/>
          <w:color w:val="000000"/>
          <w:sz w:val="24"/>
          <w:szCs w:val="24"/>
        </w:rPr>
      </w:pPr>
      <w:r>
        <w:br w:type="page"/>
      </w:r>
    </w:p>
    <w:p w:rsidR="00DF67D1" w:rsidRDefault="00DF67D1" w:rsidP="00DF67D1">
      <w:pPr>
        <w:pStyle w:val="Default"/>
        <w:jc w:val="center"/>
        <w:rPr>
          <w:rFonts w:ascii="Times New Roman" w:hAnsi="Times New Roman" w:cs="Times New Roman"/>
          <w:b/>
          <w:sz w:val="28"/>
          <w:szCs w:val="28"/>
        </w:rPr>
      </w:pPr>
      <w:r w:rsidRPr="00DF67D1">
        <w:rPr>
          <w:rFonts w:ascii="Times New Roman" w:hAnsi="Times New Roman" w:cs="Times New Roman"/>
          <w:b/>
          <w:sz w:val="28"/>
          <w:szCs w:val="28"/>
        </w:rPr>
        <w:lastRenderedPageBreak/>
        <w:t>Table of Contents</w:t>
      </w:r>
    </w:p>
    <w:p w:rsidR="00DF67D1" w:rsidRPr="00DF67D1" w:rsidRDefault="00DF67D1" w:rsidP="00DF67D1">
      <w:pPr>
        <w:pStyle w:val="Default"/>
        <w:jc w:val="center"/>
        <w:rPr>
          <w:rFonts w:ascii="Times New Roman" w:hAnsi="Times New Roman" w:cs="Times New Roman"/>
        </w:rPr>
      </w:pPr>
    </w:p>
    <w:p w:rsidR="00EB7E6C" w:rsidRDefault="00C048E9" w:rsidP="00EB7E6C">
      <w:pPr>
        <w:pStyle w:val="TOC1"/>
        <w:rPr>
          <w:noProof/>
          <w:sz w:val="22"/>
          <w:szCs w:val="22"/>
        </w:rPr>
      </w:pPr>
      <w:r w:rsidRPr="00C048E9">
        <w:rPr>
          <w:sz w:val="28"/>
          <w:szCs w:val="28"/>
        </w:rPr>
        <w:fldChar w:fldCharType="begin"/>
      </w:r>
      <w:r w:rsidR="00DF67D1">
        <w:rPr>
          <w:sz w:val="28"/>
          <w:szCs w:val="28"/>
        </w:rPr>
        <w:instrText xml:space="preserve"> TOC \h \z \t "Header1,1,Header2,2" </w:instrText>
      </w:r>
      <w:r w:rsidRPr="00C048E9">
        <w:rPr>
          <w:sz w:val="28"/>
          <w:szCs w:val="28"/>
        </w:rPr>
        <w:fldChar w:fldCharType="separate"/>
      </w:r>
      <w:hyperlink w:anchor="_Toc266699057" w:history="1">
        <w:r w:rsidR="00EB7E6C" w:rsidRPr="0039625B">
          <w:rPr>
            <w:rStyle w:val="Hyperlink"/>
            <w:noProof/>
          </w:rPr>
          <w:t>I.</w:t>
        </w:r>
        <w:r w:rsidR="00EB7E6C">
          <w:rPr>
            <w:noProof/>
            <w:sz w:val="22"/>
            <w:szCs w:val="22"/>
          </w:rPr>
          <w:tab/>
        </w:r>
        <w:r w:rsidR="00EB7E6C" w:rsidRPr="0039625B">
          <w:rPr>
            <w:rStyle w:val="Hyperlink"/>
            <w:noProof/>
          </w:rPr>
          <w:t>BASIC PRINCIPLES</w:t>
        </w:r>
        <w:r w:rsidR="00EB7E6C">
          <w:rPr>
            <w:noProof/>
            <w:webHidden/>
          </w:rPr>
          <w:tab/>
        </w:r>
        <w:r>
          <w:rPr>
            <w:noProof/>
            <w:webHidden/>
          </w:rPr>
          <w:fldChar w:fldCharType="begin"/>
        </w:r>
        <w:r w:rsidR="00EB7E6C">
          <w:rPr>
            <w:noProof/>
            <w:webHidden/>
          </w:rPr>
          <w:instrText xml:space="preserve"> PAGEREF _Toc266699057 \h </w:instrText>
        </w:r>
        <w:r>
          <w:rPr>
            <w:noProof/>
            <w:webHidden/>
          </w:rPr>
        </w:r>
        <w:r>
          <w:rPr>
            <w:noProof/>
            <w:webHidden/>
          </w:rPr>
          <w:fldChar w:fldCharType="separate"/>
        </w:r>
        <w:r w:rsidR="00EB7E6C">
          <w:rPr>
            <w:noProof/>
            <w:webHidden/>
          </w:rPr>
          <w:t>3</w:t>
        </w:r>
        <w:r>
          <w:rPr>
            <w:noProof/>
            <w:webHidden/>
          </w:rPr>
          <w:fldChar w:fldCharType="end"/>
        </w:r>
      </w:hyperlink>
    </w:p>
    <w:p w:rsidR="00EB7E6C" w:rsidRDefault="00C048E9" w:rsidP="00EB7E6C">
      <w:pPr>
        <w:pStyle w:val="TOC1"/>
        <w:rPr>
          <w:noProof/>
          <w:sz w:val="22"/>
          <w:szCs w:val="22"/>
        </w:rPr>
      </w:pPr>
      <w:hyperlink w:anchor="_Toc266699058" w:history="1">
        <w:r w:rsidR="00EB7E6C" w:rsidRPr="0039625B">
          <w:rPr>
            <w:rStyle w:val="Hyperlink"/>
            <w:noProof/>
          </w:rPr>
          <w:t>II.</w:t>
        </w:r>
        <w:r w:rsidR="00EB7E6C">
          <w:rPr>
            <w:noProof/>
            <w:sz w:val="22"/>
            <w:szCs w:val="22"/>
          </w:rPr>
          <w:tab/>
        </w:r>
        <w:r w:rsidR="00EB7E6C" w:rsidRPr="0039625B">
          <w:rPr>
            <w:rStyle w:val="Hyperlink"/>
            <w:noProof/>
          </w:rPr>
          <w:t>GENERAL ACCOUNTING POLICIES AND COST DISTRIBUTION METHODOLOGY</w:t>
        </w:r>
        <w:r w:rsidR="00EB7E6C">
          <w:rPr>
            <w:noProof/>
            <w:webHidden/>
          </w:rPr>
          <w:tab/>
        </w:r>
        <w:r>
          <w:rPr>
            <w:noProof/>
            <w:webHidden/>
          </w:rPr>
          <w:fldChar w:fldCharType="begin"/>
        </w:r>
        <w:r w:rsidR="00EB7E6C">
          <w:rPr>
            <w:noProof/>
            <w:webHidden/>
          </w:rPr>
          <w:instrText xml:space="preserve"> PAGEREF _Toc266699058 \h </w:instrText>
        </w:r>
        <w:r>
          <w:rPr>
            <w:noProof/>
            <w:webHidden/>
          </w:rPr>
        </w:r>
        <w:r>
          <w:rPr>
            <w:noProof/>
            <w:webHidden/>
          </w:rPr>
          <w:fldChar w:fldCharType="separate"/>
        </w:r>
        <w:r w:rsidR="00EB7E6C">
          <w:rPr>
            <w:noProof/>
            <w:webHidden/>
          </w:rPr>
          <w:t>3</w:t>
        </w:r>
        <w:r>
          <w:rPr>
            <w:noProof/>
            <w:webHidden/>
          </w:rPr>
          <w:fldChar w:fldCharType="end"/>
        </w:r>
      </w:hyperlink>
    </w:p>
    <w:p w:rsidR="00EB7E6C" w:rsidRDefault="00C048E9">
      <w:pPr>
        <w:pStyle w:val="TOC2"/>
        <w:rPr>
          <w:smallCaps w:val="0"/>
          <w:noProof/>
          <w:sz w:val="22"/>
          <w:szCs w:val="22"/>
        </w:rPr>
      </w:pPr>
      <w:hyperlink w:anchor="_Toc266699059" w:history="1">
        <w:r w:rsidR="00EB7E6C" w:rsidRPr="0039625B">
          <w:rPr>
            <w:rStyle w:val="Hyperlink"/>
            <w:noProof/>
          </w:rPr>
          <w:t>A.</w:t>
        </w:r>
        <w:r w:rsidR="00EB7E6C">
          <w:rPr>
            <w:smallCaps w:val="0"/>
            <w:noProof/>
            <w:sz w:val="22"/>
            <w:szCs w:val="22"/>
          </w:rPr>
          <w:tab/>
        </w:r>
        <w:r w:rsidR="00EB7E6C" w:rsidRPr="0039625B">
          <w:rPr>
            <w:rStyle w:val="Hyperlink"/>
            <w:noProof/>
          </w:rPr>
          <w:t>Basis of Accounting</w:t>
        </w:r>
        <w:r w:rsidR="00EB7E6C">
          <w:rPr>
            <w:noProof/>
            <w:webHidden/>
          </w:rPr>
          <w:tab/>
        </w:r>
        <w:r>
          <w:rPr>
            <w:noProof/>
            <w:webHidden/>
          </w:rPr>
          <w:fldChar w:fldCharType="begin"/>
        </w:r>
        <w:r w:rsidR="00EB7E6C">
          <w:rPr>
            <w:noProof/>
            <w:webHidden/>
          </w:rPr>
          <w:instrText xml:space="preserve"> PAGEREF _Toc266699059 \h </w:instrText>
        </w:r>
        <w:r>
          <w:rPr>
            <w:noProof/>
            <w:webHidden/>
          </w:rPr>
        </w:r>
        <w:r>
          <w:rPr>
            <w:noProof/>
            <w:webHidden/>
          </w:rPr>
          <w:fldChar w:fldCharType="separate"/>
        </w:r>
        <w:r w:rsidR="00EB7E6C">
          <w:rPr>
            <w:noProof/>
            <w:webHidden/>
          </w:rPr>
          <w:t>3</w:t>
        </w:r>
        <w:r>
          <w:rPr>
            <w:noProof/>
            <w:webHidden/>
          </w:rPr>
          <w:fldChar w:fldCharType="end"/>
        </w:r>
      </w:hyperlink>
    </w:p>
    <w:p w:rsidR="00EB7E6C" w:rsidRDefault="00C048E9">
      <w:pPr>
        <w:pStyle w:val="TOC2"/>
        <w:rPr>
          <w:smallCaps w:val="0"/>
          <w:noProof/>
          <w:sz w:val="22"/>
          <w:szCs w:val="22"/>
        </w:rPr>
      </w:pPr>
      <w:hyperlink w:anchor="_Toc266699060" w:history="1">
        <w:r w:rsidR="00EB7E6C" w:rsidRPr="0039625B">
          <w:rPr>
            <w:rStyle w:val="Hyperlink"/>
            <w:noProof/>
          </w:rPr>
          <w:t>B.</w:t>
        </w:r>
        <w:r w:rsidR="00EB7E6C">
          <w:rPr>
            <w:smallCaps w:val="0"/>
            <w:noProof/>
            <w:sz w:val="22"/>
            <w:szCs w:val="22"/>
          </w:rPr>
          <w:tab/>
        </w:r>
        <w:r w:rsidR="00EB7E6C" w:rsidRPr="0039625B">
          <w:rPr>
            <w:rStyle w:val="Hyperlink"/>
            <w:noProof/>
          </w:rPr>
          <w:t>Fiscal Period</w:t>
        </w:r>
        <w:r w:rsidR="00EB7E6C">
          <w:rPr>
            <w:noProof/>
            <w:webHidden/>
          </w:rPr>
          <w:tab/>
        </w:r>
        <w:r>
          <w:rPr>
            <w:noProof/>
            <w:webHidden/>
          </w:rPr>
          <w:fldChar w:fldCharType="begin"/>
        </w:r>
        <w:r w:rsidR="00EB7E6C">
          <w:rPr>
            <w:noProof/>
            <w:webHidden/>
          </w:rPr>
          <w:instrText xml:space="preserve"> PAGEREF _Toc266699060 \h </w:instrText>
        </w:r>
        <w:r>
          <w:rPr>
            <w:noProof/>
            <w:webHidden/>
          </w:rPr>
        </w:r>
        <w:r>
          <w:rPr>
            <w:noProof/>
            <w:webHidden/>
          </w:rPr>
          <w:fldChar w:fldCharType="separate"/>
        </w:r>
        <w:r w:rsidR="00EB7E6C">
          <w:rPr>
            <w:noProof/>
            <w:webHidden/>
          </w:rPr>
          <w:t>3</w:t>
        </w:r>
        <w:r>
          <w:rPr>
            <w:noProof/>
            <w:webHidden/>
          </w:rPr>
          <w:fldChar w:fldCharType="end"/>
        </w:r>
      </w:hyperlink>
    </w:p>
    <w:p w:rsidR="00EB7E6C" w:rsidRDefault="00C048E9">
      <w:pPr>
        <w:pStyle w:val="TOC2"/>
        <w:rPr>
          <w:smallCaps w:val="0"/>
          <w:noProof/>
          <w:sz w:val="22"/>
          <w:szCs w:val="22"/>
        </w:rPr>
      </w:pPr>
      <w:hyperlink w:anchor="_Toc266699061" w:history="1">
        <w:r w:rsidR="00EB7E6C" w:rsidRPr="0039625B">
          <w:rPr>
            <w:rStyle w:val="Hyperlink"/>
            <w:noProof/>
          </w:rPr>
          <w:t>C.</w:t>
        </w:r>
        <w:r w:rsidR="00EB7E6C">
          <w:rPr>
            <w:smallCaps w:val="0"/>
            <w:noProof/>
            <w:sz w:val="22"/>
            <w:szCs w:val="22"/>
          </w:rPr>
          <w:tab/>
        </w:r>
        <w:r w:rsidR="00EB7E6C" w:rsidRPr="0039625B">
          <w:rPr>
            <w:rStyle w:val="Hyperlink"/>
            <w:noProof/>
          </w:rPr>
          <w:t>Factors Affecting Allowability of Costs</w:t>
        </w:r>
        <w:r w:rsidR="00EB7E6C">
          <w:rPr>
            <w:noProof/>
            <w:webHidden/>
          </w:rPr>
          <w:tab/>
        </w:r>
        <w:r>
          <w:rPr>
            <w:noProof/>
            <w:webHidden/>
          </w:rPr>
          <w:fldChar w:fldCharType="begin"/>
        </w:r>
        <w:r w:rsidR="00EB7E6C">
          <w:rPr>
            <w:noProof/>
            <w:webHidden/>
          </w:rPr>
          <w:instrText xml:space="preserve"> PAGEREF _Toc266699061 \h </w:instrText>
        </w:r>
        <w:r>
          <w:rPr>
            <w:noProof/>
            <w:webHidden/>
          </w:rPr>
        </w:r>
        <w:r>
          <w:rPr>
            <w:noProof/>
            <w:webHidden/>
          </w:rPr>
          <w:fldChar w:fldCharType="separate"/>
        </w:r>
        <w:r w:rsidR="00EB7E6C">
          <w:rPr>
            <w:noProof/>
            <w:webHidden/>
          </w:rPr>
          <w:t>3</w:t>
        </w:r>
        <w:r>
          <w:rPr>
            <w:noProof/>
            <w:webHidden/>
          </w:rPr>
          <w:fldChar w:fldCharType="end"/>
        </w:r>
      </w:hyperlink>
    </w:p>
    <w:p w:rsidR="00EB7E6C" w:rsidRDefault="00C048E9">
      <w:pPr>
        <w:pStyle w:val="TOC2"/>
        <w:rPr>
          <w:smallCaps w:val="0"/>
          <w:noProof/>
          <w:sz w:val="22"/>
          <w:szCs w:val="22"/>
        </w:rPr>
      </w:pPr>
      <w:hyperlink w:anchor="_Toc266699062" w:history="1">
        <w:r w:rsidR="00EB7E6C" w:rsidRPr="0039625B">
          <w:rPr>
            <w:rStyle w:val="Hyperlink"/>
            <w:noProof/>
          </w:rPr>
          <w:t xml:space="preserve">D. </w:t>
        </w:r>
        <w:r w:rsidR="00EB7E6C">
          <w:rPr>
            <w:smallCaps w:val="0"/>
            <w:noProof/>
            <w:sz w:val="22"/>
            <w:szCs w:val="22"/>
          </w:rPr>
          <w:tab/>
        </w:r>
        <w:r w:rsidR="00EB7E6C" w:rsidRPr="0039625B">
          <w:rPr>
            <w:rStyle w:val="Hyperlink"/>
            <w:noProof/>
          </w:rPr>
          <w:t>Description of Cost Distribution Methodology:</w:t>
        </w:r>
        <w:r w:rsidR="00EB7E6C">
          <w:rPr>
            <w:noProof/>
            <w:webHidden/>
          </w:rPr>
          <w:tab/>
        </w:r>
        <w:r>
          <w:rPr>
            <w:noProof/>
            <w:webHidden/>
          </w:rPr>
          <w:fldChar w:fldCharType="begin"/>
        </w:r>
        <w:r w:rsidR="00EB7E6C">
          <w:rPr>
            <w:noProof/>
            <w:webHidden/>
          </w:rPr>
          <w:instrText xml:space="preserve"> PAGEREF _Toc266699062 \h </w:instrText>
        </w:r>
        <w:r>
          <w:rPr>
            <w:noProof/>
            <w:webHidden/>
          </w:rPr>
        </w:r>
        <w:r>
          <w:rPr>
            <w:noProof/>
            <w:webHidden/>
          </w:rPr>
          <w:fldChar w:fldCharType="separate"/>
        </w:r>
        <w:r w:rsidR="00EB7E6C">
          <w:rPr>
            <w:noProof/>
            <w:webHidden/>
          </w:rPr>
          <w:t>4</w:t>
        </w:r>
        <w:r>
          <w:rPr>
            <w:noProof/>
            <w:webHidden/>
          </w:rPr>
          <w:fldChar w:fldCharType="end"/>
        </w:r>
      </w:hyperlink>
    </w:p>
    <w:p w:rsidR="00EB7E6C" w:rsidRDefault="00C048E9">
      <w:pPr>
        <w:pStyle w:val="TOC2"/>
        <w:rPr>
          <w:smallCaps w:val="0"/>
          <w:noProof/>
          <w:sz w:val="22"/>
          <w:szCs w:val="22"/>
        </w:rPr>
      </w:pPr>
      <w:hyperlink w:anchor="_Toc266699063" w:history="1">
        <w:r w:rsidR="00EB7E6C" w:rsidRPr="0039625B">
          <w:rPr>
            <w:rStyle w:val="Hyperlink"/>
            <w:noProof/>
          </w:rPr>
          <w:t xml:space="preserve">E. </w:t>
        </w:r>
        <w:r w:rsidR="00EB7E6C">
          <w:rPr>
            <w:smallCaps w:val="0"/>
            <w:noProof/>
            <w:sz w:val="22"/>
            <w:szCs w:val="22"/>
          </w:rPr>
          <w:tab/>
        </w:r>
        <w:r w:rsidR="00EB7E6C" w:rsidRPr="0039625B">
          <w:rPr>
            <w:rStyle w:val="Hyperlink"/>
            <w:noProof/>
          </w:rPr>
          <w:t>Distribution of Salaries and Wages</w:t>
        </w:r>
        <w:r w:rsidR="00EB7E6C">
          <w:rPr>
            <w:noProof/>
            <w:webHidden/>
          </w:rPr>
          <w:tab/>
        </w:r>
        <w:r>
          <w:rPr>
            <w:noProof/>
            <w:webHidden/>
          </w:rPr>
          <w:fldChar w:fldCharType="begin"/>
        </w:r>
        <w:r w:rsidR="00EB7E6C">
          <w:rPr>
            <w:noProof/>
            <w:webHidden/>
          </w:rPr>
          <w:instrText xml:space="preserve"> PAGEREF _Toc266699063 \h </w:instrText>
        </w:r>
        <w:r>
          <w:rPr>
            <w:noProof/>
            <w:webHidden/>
          </w:rPr>
        </w:r>
        <w:r>
          <w:rPr>
            <w:noProof/>
            <w:webHidden/>
          </w:rPr>
          <w:fldChar w:fldCharType="separate"/>
        </w:r>
        <w:r w:rsidR="00EB7E6C">
          <w:rPr>
            <w:noProof/>
            <w:webHidden/>
          </w:rPr>
          <w:t>4</w:t>
        </w:r>
        <w:r>
          <w:rPr>
            <w:noProof/>
            <w:webHidden/>
          </w:rPr>
          <w:fldChar w:fldCharType="end"/>
        </w:r>
      </w:hyperlink>
    </w:p>
    <w:p w:rsidR="00EB7E6C" w:rsidRDefault="00C048E9">
      <w:pPr>
        <w:pStyle w:val="TOC2"/>
        <w:rPr>
          <w:smallCaps w:val="0"/>
          <w:noProof/>
          <w:sz w:val="22"/>
          <w:szCs w:val="22"/>
        </w:rPr>
      </w:pPr>
      <w:hyperlink w:anchor="_Toc266699064" w:history="1">
        <w:r w:rsidR="00EB7E6C" w:rsidRPr="0039625B">
          <w:rPr>
            <w:rStyle w:val="Hyperlink"/>
            <w:noProof/>
          </w:rPr>
          <w:t xml:space="preserve">F. </w:t>
        </w:r>
        <w:r w:rsidR="00EB7E6C">
          <w:rPr>
            <w:smallCaps w:val="0"/>
            <w:noProof/>
            <w:sz w:val="22"/>
            <w:szCs w:val="22"/>
          </w:rPr>
          <w:tab/>
        </w:r>
        <w:r w:rsidR="00EB7E6C" w:rsidRPr="0039625B">
          <w:rPr>
            <w:rStyle w:val="Hyperlink"/>
            <w:noProof/>
          </w:rPr>
          <w:t>Internal Controls</w:t>
        </w:r>
        <w:r w:rsidR="00EB7E6C">
          <w:rPr>
            <w:noProof/>
            <w:webHidden/>
          </w:rPr>
          <w:tab/>
        </w:r>
        <w:r>
          <w:rPr>
            <w:noProof/>
            <w:webHidden/>
          </w:rPr>
          <w:fldChar w:fldCharType="begin"/>
        </w:r>
        <w:r w:rsidR="00EB7E6C">
          <w:rPr>
            <w:noProof/>
            <w:webHidden/>
          </w:rPr>
          <w:instrText xml:space="preserve"> PAGEREF _Toc266699064 \h </w:instrText>
        </w:r>
        <w:r>
          <w:rPr>
            <w:noProof/>
            <w:webHidden/>
          </w:rPr>
        </w:r>
        <w:r>
          <w:rPr>
            <w:noProof/>
            <w:webHidden/>
          </w:rPr>
          <w:fldChar w:fldCharType="separate"/>
        </w:r>
        <w:r w:rsidR="00EB7E6C">
          <w:rPr>
            <w:noProof/>
            <w:webHidden/>
          </w:rPr>
          <w:t>5</w:t>
        </w:r>
        <w:r>
          <w:rPr>
            <w:noProof/>
            <w:webHidden/>
          </w:rPr>
          <w:fldChar w:fldCharType="end"/>
        </w:r>
      </w:hyperlink>
    </w:p>
    <w:p w:rsidR="00EB7E6C" w:rsidRDefault="00C048E9">
      <w:pPr>
        <w:pStyle w:val="TOC2"/>
        <w:rPr>
          <w:smallCaps w:val="0"/>
          <w:noProof/>
          <w:sz w:val="22"/>
          <w:szCs w:val="22"/>
        </w:rPr>
      </w:pPr>
      <w:hyperlink w:anchor="_Toc266699065" w:history="1">
        <w:r w:rsidR="00EB7E6C" w:rsidRPr="0039625B">
          <w:rPr>
            <w:rStyle w:val="Hyperlink"/>
            <w:noProof/>
          </w:rPr>
          <w:t>G.</w:t>
        </w:r>
        <w:r w:rsidR="00EB7E6C">
          <w:rPr>
            <w:smallCaps w:val="0"/>
            <w:noProof/>
            <w:sz w:val="22"/>
            <w:szCs w:val="22"/>
          </w:rPr>
          <w:tab/>
        </w:r>
        <w:r w:rsidR="00EB7E6C" w:rsidRPr="0039625B">
          <w:rPr>
            <w:rStyle w:val="Hyperlink"/>
            <w:noProof/>
          </w:rPr>
          <w:t>Capital Funds</w:t>
        </w:r>
        <w:r w:rsidR="00EB7E6C">
          <w:rPr>
            <w:noProof/>
            <w:webHidden/>
          </w:rPr>
          <w:tab/>
        </w:r>
        <w:r>
          <w:rPr>
            <w:noProof/>
            <w:webHidden/>
          </w:rPr>
          <w:fldChar w:fldCharType="begin"/>
        </w:r>
        <w:r w:rsidR="00EB7E6C">
          <w:rPr>
            <w:noProof/>
            <w:webHidden/>
          </w:rPr>
          <w:instrText xml:space="preserve"> PAGEREF _Toc266699065 \h </w:instrText>
        </w:r>
        <w:r>
          <w:rPr>
            <w:noProof/>
            <w:webHidden/>
          </w:rPr>
        </w:r>
        <w:r>
          <w:rPr>
            <w:noProof/>
            <w:webHidden/>
          </w:rPr>
          <w:fldChar w:fldCharType="separate"/>
        </w:r>
        <w:r w:rsidR="00EB7E6C">
          <w:rPr>
            <w:noProof/>
            <w:webHidden/>
          </w:rPr>
          <w:t>5</w:t>
        </w:r>
        <w:r>
          <w:rPr>
            <w:noProof/>
            <w:webHidden/>
          </w:rPr>
          <w:fldChar w:fldCharType="end"/>
        </w:r>
      </w:hyperlink>
    </w:p>
    <w:p w:rsidR="00EB7E6C" w:rsidRDefault="00C048E9" w:rsidP="00EB7E6C">
      <w:pPr>
        <w:pStyle w:val="TOC1"/>
        <w:rPr>
          <w:noProof/>
          <w:sz w:val="22"/>
          <w:szCs w:val="22"/>
        </w:rPr>
      </w:pPr>
      <w:hyperlink w:anchor="_Toc266699066" w:history="1">
        <w:r w:rsidR="00EB7E6C" w:rsidRPr="0039625B">
          <w:rPr>
            <w:rStyle w:val="Hyperlink"/>
            <w:noProof/>
          </w:rPr>
          <w:t>III.</w:t>
        </w:r>
        <w:r w:rsidR="00EB7E6C">
          <w:rPr>
            <w:noProof/>
            <w:sz w:val="22"/>
            <w:szCs w:val="22"/>
          </w:rPr>
          <w:tab/>
        </w:r>
        <w:r w:rsidR="00EB7E6C" w:rsidRPr="0039625B">
          <w:rPr>
            <w:rStyle w:val="Hyperlink"/>
            <w:noProof/>
          </w:rPr>
          <w:t>Listing of Programs Serviced by the Housing Authority</w:t>
        </w:r>
        <w:r w:rsidR="00EB7E6C">
          <w:rPr>
            <w:noProof/>
            <w:webHidden/>
          </w:rPr>
          <w:tab/>
        </w:r>
        <w:r>
          <w:rPr>
            <w:noProof/>
            <w:webHidden/>
          </w:rPr>
          <w:fldChar w:fldCharType="begin"/>
        </w:r>
        <w:r w:rsidR="00EB7E6C">
          <w:rPr>
            <w:noProof/>
            <w:webHidden/>
          </w:rPr>
          <w:instrText xml:space="preserve"> PAGEREF _Toc266699066 \h </w:instrText>
        </w:r>
        <w:r>
          <w:rPr>
            <w:noProof/>
            <w:webHidden/>
          </w:rPr>
        </w:r>
        <w:r>
          <w:rPr>
            <w:noProof/>
            <w:webHidden/>
          </w:rPr>
          <w:fldChar w:fldCharType="separate"/>
        </w:r>
        <w:r w:rsidR="00EB7E6C">
          <w:rPr>
            <w:noProof/>
            <w:webHidden/>
          </w:rPr>
          <w:t>5</w:t>
        </w:r>
        <w:r>
          <w:rPr>
            <w:noProof/>
            <w:webHidden/>
          </w:rPr>
          <w:fldChar w:fldCharType="end"/>
        </w:r>
      </w:hyperlink>
    </w:p>
    <w:p w:rsidR="00EB7E6C" w:rsidRDefault="00C048E9">
      <w:pPr>
        <w:pStyle w:val="TOC2"/>
        <w:rPr>
          <w:smallCaps w:val="0"/>
          <w:noProof/>
          <w:sz w:val="22"/>
          <w:szCs w:val="22"/>
        </w:rPr>
      </w:pPr>
      <w:hyperlink w:anchor="_Toc266699067" w:history="1">
        <w:r w:rsidR="00EB7E6C" w:rsidRPr="0039625B">
          <w:rPr>
            <w:rStyle w:val="Hyperlink"/>
            <w:noProof/>
          </w:rPr>
          <w:t>A.</w:t>
        </w:r>
        <w:r w:rsidR="00EB7E6C">
          <w:rPr>
            <w:smallCaps w:val="0"/>
            <w:noProof/>
            <w:sz w:val="22"/>
            <w:szCs w:val="22"/>
          </w:rPr>
          <w:tab/>
        </w:r>
        <w:r w:rsidR="00EB7E6C" w:rsidRPr="0039625B">
          <w:rPr>
            <w:rStyle w:val="Hyperlink"/>
            <w:noProof/>
          </w:rPr>
          <w:t>Section 8 Program</w:t>
        </w:r>
        <w:r w:rsidR="00EB7E6C">
          <w:rPr>
            <w:noProof/>
            <w:webHidden/>
          </w:rPr>
          <w:tab/>
        </w:r>
        <w:r>
          <w:rPr>
            <w:noProof/>
            <w:webHidden/>
          </w:rPr>
          <w:fldChar w:fldCharType="begin"/>
        </w:r>
        <w:r w:rsidR="00EB7E6C">
          <w:rPr>
            <w:noProof/>
            <w:webHidden/>
          </w:rPr>
          <w:instrText xml:space="preserve"> PAGEREF _Toc266699067 \h </w:instrText>
        </w:r>
        <w:r>
          <w:rPr>
            <w:noProof/>
            <w:webHidden/>
          </w:rPr>
        </w:r>
        <w:r>
          <w:rPr>
            <w:noProof/>
            <w:webHidden/>
          </w:rPr>
          <w:fldChar w:fldCharType="separate"/>
        </w:r>
        <w:r w:rsidR="00EB7E6C">
          <w:rPr>
            <w:noProof/>
            <w:webHidden/>
          </w:rPr>
          <w:t>5</w:t>
        </w:r>
        <w:r>
          <w:rPr>
            <w:noProof/>
            <w:webHidden/>
          </w:rPr>
          <w:fldChar w:fldCharType="end"/>
        </w:r>
      </w:hyperlink>
    </w:p>
    <w:p w:rsidR="00EB7E6C" w:rsidRDefault="00C048E9">
      <w:pPr>
        <w:pStyle w:val="TOC2"/>
        <w:rPr>
          <w:smallCaps w:val="0"/>
          <w:noProof/>
          <w:sz w:val="22"/>
          <w:szCs w:val="22"/>
        </w:rPr>
      </w:pPr>
      <w:hyperlink w:anchor="_Toc266699068" w:history="1">
        <w:r w:rsidR="00EB7E6C" w:rsidRPr="0039625B">
          <w:rPr>
            <w:rStyle w:val="Hyperlink"/>
            <w:noProof/>
          </w:rPr>
          <w:t>B.</w:t>
        </w:r>
        <w:r w:rsidR="00EB7E6C">
          <w:rPr>
            <w:smallCaps w:val="0"/>
            <w:noProof/>
            <w:sz w:val="22"/>
            <w:szCs w:val="22"/>
          </w:rPr>
          <w:tab/>
        </w:r>
        <w:r w:rsidR="00EB7E6C" w:rsidRPr="0039625B">
          <w:rPr>
            <w:rStyle w:val="Hyperlink"/>
            <w:noProof/>
          </w:rPr>
          <w:t>Low Rent Public Housing</w:t>
        </w:r>
        <w:r w:rsidR="00EB7E6C">
          <w:rPr>
            <w:noProof/>
            <w:webHidden/>
          </w:rPr>
          <w:tab/>
        </w:r>
        <w:r>
          <w:rPr>
            <w:noProof/>
            <w:webHidden/>
          </w:rPr>
          <w:fldChar w:fldCharType="begin"/>
        </w:r>
        <w:r w:rsidR="00EB7E6C">
          <w:rPr>
            <w:noProof/>
            <w:webHidden/>
          </w:rPr>
          <w:instrText xml:space="preserve"> PAGEREF _Toc266699068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pPr>
        <w:pStyle w:val="TOC2"/>
        <w:rPr>
          <w:smallCaps w:val="0"/>
          <w:noProof/>
          <w:sz w:val="22"/>
          <w:szCs w:val="22"/>
        </w:rPr>
      </w:pPr>
      <w:hyperlink w:anchor="_Toc266699069" w:history="1">
        <w:r w:rsidR="00EB7E6C" w:rsidRPr="0039625B">
          <w:rPr>
            <w:rStyle w:val="Hyperlink"/>
            <w:noProof/>
          </w:rPr>
          <w:t>C.</w:t>
        </w:r>
        <w:r w:rsidR="00EB7E6C">
          <w:rPr>
            <w:smallCaps w:val="0"/>
            <w:noProof/>
            <w:sz w:val="22"/>
            <w:szCs w:val="22"/>
          </w:rPr>
          <w:tab/>
        </w:r>
        <w:r w:rsidR="00EB7E6C" w:rsidRPr="0039625B">
          <w:rPr>
            <w:rStyle w:val="Hyperlink"/>
            <w:noProof/>
          </w:rPr>
          <w:t>Public Housing Capital Fund Program</w:t>
        </w:r>
        <w:r w:rsidR="00EB7E6C">
          <w:rPr>
            <w:noProof/>
            <w:webHidden/>
          </w:rPr>
          <w:tab/>
        </w:r>
        <w:r>
          <w:rPr>
            <w:noProof/>
            <w:webHidden/>
          </w:rPr>
          <w:fldChar w:fldCharType="begin"/>
        </w:r>
        <w:r w:rsidR="00EB7E6C">
          <w:rPr>
            <w:noProof/>
            <w:webHidden/>
          </w:rPr>
          <w:instrText xml:space="preserve"> PAGEREF _Toc266699069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pPr>
        <w:pStyle w:val="TOC2"/>
        <w:rPr>
          <w:smallCaps w:val="0"/>
          <w:noProof/>
          <w:sz w:val="22"/>
          <w:szCs w:val="22"/>
        </w:rPr>
      </w:pPr>
      <w:hyperlink w:anchor="_Toc266699070" w:history="1">
        <w:r w:rsidR="00EB7E6C" w:rsidRPr="0039625B">
          <w:rPr>
            <w:rStyle w:val="Hyperlink"/>
            <w:noProof/>
          </w:rPr>
          <w:t>D.</w:t>
        </w:r>
        <w:r w:rsidR="00EB7E6C">
          <w:rPr>
            <w:smallCaps w:val="0"/>
            <w:noProof/>
            <w:sz w:val="22"/>
            <w:szCs w:val="22"/>
          </w:rPr>
          <w:tab/>
        </w:r>
        <w:r w:rsidR="00EB7E6C" w:rsidRPr="0039625B">
          <w:rPr>
            <w:rStyle w:val="Hyperlink"/>
            <w:noProof/>
          </w:rPr>
          <w:t>HOPE VI Revitalization Grant</w:t>
        </w:r>
        <w:r w:rsidR="00EB7E6C">
          <w:rPr>
            <w:noProof/>
            <w:webHidden/>
          </w:rPr>
          <w:tab/>
        </w:r>
        <w:r>
          <w:rPr>
            <w:noProof/>
            <w:webHidden/>
          </w:rPr>
          <w:fldChar w:fldCharType="begin"/>
        </w:r>
        <w:r w:rsidR="00EB7E6C">
          <w:rPr>
            <w:noProof/>
            <w:webHidden/>
          </w:rPr>
          <w:instrText xml:space="preserve"> PAGEREF _Toc266699070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pPr>
        <w:pStyle w:val="TOC2"/>
        <w:rPr>
          <w:smallCaps w:val="0"/>
          <w:noProof/>
          <w:sz w:val="22"/>
          <w:szCs w:val="22"/>
        </w:rPr>
      </w:pPr>
      <w:hyperlink w:anchor="_Toc266699071" w:history="1">
        <w:r w:rsidR="00EB7E6C" w:rsidRPr="0039625B">
          <w:rPr>
            <w:rStyle w:val="Hyperlink"/>
            <w:noProof/>
          </w:rPr>
          <w:t>E.</w:t>
        </w:r>
        <w:r w:rsidR="00EB7E6C">
          <w:rPr>
            <w:smallCaps w:val="0"/>
            <w:noProof/>
            <w:sz w:val="22"/>
            <w:szCs w:val="22"/>
          </w:rPr>
          <w:tab/>
        </w:r>
        <w:r w:rsidR="00EB7E6C" w:rsidRPr="0039625B">
          <w:rPr>
            <w:rStyle w:val="Hyperlink"/>
            <w:noProof/>
          </w:rPr>
          <w:t>Woodbridge</w:t>
        </w:r>
        <w:r w:rsidR="00EB7E6C">
          <w:rPr>
            <w:noProof/>
            <w:webHidden/>
          </w:rPr>
          <w:tab/>
        </w:r>
        <w:r>
          <w:rPr>
            <w:noProof/>
            <w:webHidden/>
          </w:rPr>
          <w:fldChar w:fldCharType="begin"/>
        </w:r>
        <w:r w:rsidR="00EB7E6C">
          <w:rPr>
            <w:noProof/>
            <w:webHidden/>
          </w:rPr>
          <w:instrText xml:space="preserve"> PAGEREF _Toc266699071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rsidP="00EB7E6C">
      <w:pPr>
        <w:pStyle w:val="TOC1"/>
        <w:rPr>
          <w:noProof/>
          <w:sz w:val="22"/>
          <w:szCs w:val="22"/>
        </w:rPr>
      </w:pPr>
      <w:hyperlink w:anchor="_Toc266699072" w:history="1">
        <w:r w:rsidR="00EB7E6C" w:rsidRPr="0039625B">
          <w:rPr>
            <w:rStyle w:val="Hyperlink"/>
            <w:noProof/>
          </w:rPr>
          <w:t>IV.</w:t>
        </w:r>
        <w:r w:rsidR="00EB7E6C">
          <w:rPr>
            <w:noProof/>
            <w:sz w:val="22"/>
            <w:szCs w:val="22"/>
          </w:rPr>
          <w:tab/>
        </w:r>
        <w:r w:rsidR="00EB7E6C" w:rsidRPr="0039625B">
          <w:rPr>
            <w:rStyle w:val="Hyperlink"/>
            <w:noProof/>
          </w:rPr>
          <w:t>INCOME/EXPENSE DETAIL DESCRIPTION AND OVERVIEW</w:t>
        </w:r>
        <w:r w:rsidR="00EB7E6C">
          <w:rPr>
            <w:noProof/>
            <w:webHidden/>
          </w:rPr>
          <w:tab/>
        </w:r>
        <w:r>
          <w:rPr>
            <w:noProof/>
            <w:webHidden/>
          </w:rPr>
          <w:fldChar w:fldCharType="begin"/>
        </w:r>
        <w:r w:rsidR="00EB7E6C">
          <w:rPr>
            <w:noProof/>
            <w:webHidden/>
          </w:rPr>
          <w:instrText xml:space="preserve"> PAGEREF _Toc266699072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pPr>
        <w:pStyle w:val="TOC2"/>
        <w:rPr>
          <w:smallCaps w:val="0"/>
          <w:noProof/>
          <w:sz w:val="22"/>
          <w:szCs w:val="22"/>
        </w:rPr>
      </w:pPr>
      <w:hyperlink w:anchor="_Toc266699073" w:history="1">
        <w:r w:rsidR="00EB7E6C" w:rsidRPr="0039625B">
          <w:rPr>
            <w:rStyle w:val="Hyperlink"/>
            <w:noProof/>
          </w:rPr>
          <w:t>A.</w:t>
        </w:r>
        <w:r w:rsidR="00EB7E6C">
          <w:rPr>
            <w:smallCaps w:val="0"/>
            <w:noProof/>
            <w:sz w:val="22"/>
            <w:szCs w:val="22"/>
          </w:rPr>
          <w:tab/>
        </w:r>
        <w:r w:rsidR="00EB7E6C" w:rsidRPr="0039625B">
          <w:rPr>
            <w:rStyle w:val="Hyperlink"/>
            <w:noProof/>
          </w:rPr>
          <w:t>Central Office Cost Center (COCC) – Expenses</w:t>
        </w:r>
        <w:r w:rsidR="00EB7E6C">
          <w:rPr>
            <w:noProof/>
            <w:webHidden/>
          </w:rPr>
          <w:tab/>
        </w:r>
        <w:r>
          <w:rPr>
            <w:noProof/>
            <w:webHidden/>
          </w:rPr>
          <w:fldChar w:fldCharType="begin"/>
        </w:r>
        <w:r w:rsidR="00EB7E6C">
          <w:rPr>
            <w:noProof/>
            <w:webHidden/>
          </w:rPr>
          <w:instrText xml:space="preserve"> PAGEREF _Toc266699073 \h </w:instrText>
        </w:r>
        <w:r>
          <w:rPr>
            <w:noProof/>
            <w:webHidden/>
          </w:rPr>
        </w:r>
        <w:r>
          <w:rPr>
            <w:noProof/>
            <w:webHidden/>
          </w:rPr>
          <w:fldChar w:fldCharType="separate"/>
        </w:r>
        <w:r w:rsidR="00EB7E6C">
          <w:rPr>
            <w:noProof/>
            <w:webHidden/>
          </w:rPr>
          <w:t>6</w:t>
        </w:r>
        <w:r>
          <w:rPr>
            <w:noProof/>
            <w:webHidden/>
          </w:rPr>
          <w:fldChar w:fldCharType="end"/>
        </w:r>
      </w:hyperlink>
    </w:p>
    <w:p w:rsidR="00EB7E6C" w:rsidRDefault="00C048E9">
      <w:pPr>
        <w:pStyle w:val="TOC2"/>
        <w:rPr>
          <w:smallCaps w:val="0"/>
          <w:noProof/>
          <w:sz w:val="22"/>
          <w:szCs w:val="22"/>
        </w:rPr>
      </w:pPr>
      <w:hyperlink w:anchor="_Toc266699074" w:history="1">
        <w:r w:rsidR="00EB7E6C" w:rsidRPr="0039625B">
          <w:rPr>
            <w:rStyle w:val="Hyperlink"/>
            <w:noProof/>
          </w:rPr>
          <w:t xml:space="preserve">B. </w:t>
        </w:r>
        <w:r w:rsidR="00EB7E6C">
          <w:rPr>
            <w:smallCaps w:val="0"/>
            <w:noProof/>
            <w:sz w:val="22"/>
            <w:szCs w:val="22"/>
          </w:rPr>
          <w:tab/>
        </w:r>
        <w:r w:rsidR="00EB7E6C" w:rsidRPr="0039625B">
          <w:rPr>
            <w:rStyle w:val="Hyperlink"/>
            <w:noProof/>
          </w:rPr>
          <w:t>Central Office Cost Center – Income</w:t>
        </w:r>
        <w:r w:rsidR="00EB7E6C">
          <w:rPr>
            <w:noProof/>
            <w:webHidden/>
          </w:rPr>
          <w:tab/>
        </w:r>
        <w:r>
          <w:rPr>
            <w:noProof/>
            <w:webHidden/>
          </w:rPr>
          <w:fldChar w:fldCharType="begin"/>
        </w:r>
        <w:r w:rsidR="00EB7E6C">
          <w:rPr>
            <w:noProof/>
            <w:webHidden/>
          </w:rPr>
          <w:instrText xml:space="preserve"> PAGEREF _Toc266699074 \h </w:instrText>
        </w:r>
        <w:r>
          <w:rPr>
            <w:noProof/>
            <w:webHidden/>
          </w:rPr>
        </w:r>
        <w:r>
          <w:rPr>
            <w:noProof/>
            <w:webHidden/>
          </w:rPr>
          <w:fldChar w:fldCharType="separate"/>
        </w:r>
        <w:r w:rsidR="00EB7E6C">
          <w:rPr>
            <w:noProof/>
            <w:webHidden/>
          </w:rPr>
          <w:t>8</w:t>
        </w:r>
        <w:r>
          <w:rPr>
            <w:noProof/>
            <w:webHidden/>
          </w:rPr>
          <w:fldChar w:fldCharType="end"/>
        </w:r>
      </w:hyperlink>
    </w:p>
    <w:p w:rsidR="00EB7E6C" w:rsidRDefault="00C048E9">
      <w:pPr>
        <w:pStyle w:val="TOC2"/>
        <w:rPr>
          <w:smallCaps w:val="0"/>
          <w:noProof/>
          <w:sz w:val="22"/>
          <w:szCs w:val="22"/>
        </w:rPr>
      </w:pPr>
      <w:hyperlink w:anchor="_Toc266699075" w:history="1">
        <w:r w:rsidR="00EB7E6C" w:rsidRPr="0039625B">
          <w:rPr>
            <w:rStyle w:val="Hyperlink"/>
            <w:noProof/>
          </w:rPr>
          <w:t xml:space="preserve">C. </w:t>
        </w:r>
        <w:r w:rsidR="00EB7E6C">
          <w:rPr>
            <w:smallCaps w:val="0"/>
            <w:noProof/>
            <w:sz w:val="22"/>
            <w:szCs w:val="22"/>
          </w:rPr>
          <w:tab/>
        </w:r>
        <w:r w:rsidR="00EB7E6C" w:rsidRPr="0039625B">
          <w:rPr>
            <w:rStyle w:val="Hyperlink"/>
            <w:noProof/>
          </w:rPr>
          <w:t>Public Housing – AMP Expenses</w:t>
        </w:r>
        <w:r w:rsidR="00EB7E6C">
          <w:rPr>
            <w:noProof/>
            <w:webHidden/>
          </w:rPr>
          <w:tab/>
        </w:r>
        <w:r>
          <w:rPr>
            <w:noProof/>
            <w:webHidden/>
          </w:rPr>
          <w:fldChar w:fldCharType="begin"/>
        </w:r>
        <w:r w:rsidR="00EB7E6C">
          <w:rPr>
            <w:noProof/>
            <w:webHidden/>
          </w:rPr>
          <w:instrText xml:space="preserve"> PAGEREF _Toc266699075 \h </w:instrText>
        </w:r>
        <w:r>
          <w:rPr>
            <w:noProof/>
            <w:webHidden/>
          </w:rPr>
        </w:r>
        <w:r>
          <w:rPr>
            <w:noProof/>
            <w:webHidden/>
          </w:rPr>
          <w:fldChar w:fldCharType="separate"/>
        </w:r>
        <w:r w:rsidR="00EB7E6C">
          <w:rPr>
            <w:noProof/>
            <w:webHidden/>
          </w:rPr>
          <w:t>8</w:t>
        </w:r>
        <w:r>
          <w:rPr>
            <w:noProof/>
            <w:webHidden/>
          </w:rPr>
          <w:fldChar w:fldCharType="end"/>
        </w:r>
      </w:hyperlink>
    </w:p>
    <w:p w:rsidR="00EB7E6C" w:rsidRDefault="00C048E9">
      <w:pPr>
        <w:pStyle w:val="TOC2"/>
        <w:rPr>
          <w:smallCaps w:val="0"/>
          <w:noProof/>
          <w:sz w:val="22"/>
          <w:szCs w:val="22"/>
        </w:rPr>
      </w:pPr>
      <w:hyperlink w:anchor="_Toc266699076" w:history="1">
        <w:r w:rsidR="00EB7E6C" w:rsidRPr="0039625B">
          <w:rPr>
            <w:rStyle w:val="Hyperlink"/>
            <w:noProof/>
          </w:rPr>
          <w:t xml:space="preserve">D. </w:t>
        </w:r>
        <w:r w:rsidR="00EB7E6C">
          <w:rPr>
            <w:smallCaps w:val="0"/>
            <w:noProof/>
            <w:sz w:val="22"/>
            <w:szCs w:val="22"/>
          </w:rPr>
          <w:tab/>
        </w:r>
        <w:r w:rsidR="00EB7E6C" w:rsidRPr="0039625B">
          <w:rPr>
            <w:rStyle w:val="Hyperlink"/>
            <w:noProof/>
          </w:rPr>
          <w:t>Public Housing – AMP Income</w:t>
        </w:r>
        <w:r w:rsidR="00EB7E6C">
          <w:rPr>
            <w:noProof/>
            <w:webHidden/>
          </w:rPr>
          <w:tab/>
        </w:r>
        <w:r>
          <w:rPr>
            <w:noProof/>
            <w:webHidden/>
          </w:rPr>
          <w:fldChar w:fldCharType="begin"/>
        </w:r>
        <w:r w:rsidR="00EB7E6C">
          <w:rPr>
            <w:noProof/>
            <w:webHidden/>
          </w:rPr>
          <w:instrText xml:space="preserve"> PAGEREF _Toc266699076 \h </w:instrText>
        </w:r>
        <w:r>
          <w:rPr>
            <w:noProof/>
            <w:webHidden/>
          </w:rPr>
        </w:r>
        <w:r>
          <w:rPr>
            <w:noProof/>
            <w:webHidden/>
          </w:rPr>
          <w:fldChar w:fldCharType="separate"/>
        </w:r>
        <w:r w:rsidR="00EB7E6C">
          <w:rPr>
            <w:noProof/>
            <w:webHidden/>
          </w:rPr>
          <w:t>11</w:t>
        </w:r>
        <w:r>
          <w:rPr>
            <w:noProof/>
            <w:webHidden/>
          </w:rPr>
          <w:fldChar w:fldCharType="end"/>
        </w:r>
      </w:hyperlink>
    </w:p>
    <w:p w:rsidR="00EB7E6C" w:rsidRDefault="00C048E9">
      <w:pPr>
        <w:pStyle w:val="TOC2"/>
        <w:rPr>
          <w:smallCaps w:val="0"/>
          <w:noProof/>
          <w:sz w:val="22"/>
          <w:szCs w:val="22"/>
        </w:rPr>
      </w:pPr>
      <w:hyperlink w:anchor="_Toc266699077" w:history="1">
        <w:r w:rsidR="00EB7E6C" w:rsidRPr="0039625B">
          <w:rPr>
            <w:rStyle w:val="Hyperlink"/>
            <w:noProof/>
          </w:rPr>
          <w:t xml:space="preserve">E. </w:t>
        </w:r>
        <w:r w:rsidR="00EB7E6C">
          <w:rPr>
            <w:smallCaps w:val="0"/>
            <w:noProof/>
            <w:sz w:val="22"/>
            <w:szCs w:val="22"/>
          </w:rPr>
          <w:tab/>
        </w:r>
        <w:r w:rsidR="00EB7E6C" w:rsidRPr="0039625B">
          <w:rPr>
            <w:rStyle w:val="Hyperlink"/>
            <w:noProof/>
          </w:rPr>
          <w:t>Capital Fund – Expenses</w:t>
        </w:r>
        <w:r w:rsidR="00EB7E6C">
          <w:rPr>
            <w:noProof/>
            <w:webHidden/>
          </w:rPr>
          <w:tab/>
        </w:r>
        <w:r>
          <w:rPr>
            <w:noProof/>
            <w:webHidden/>
          </w:rPr>
          <w:fldChar w:fldCharType="begin"/>
        </w:r>
        <w:r w:rsidR="00EB7E6C">
          <w:rPr>
            <w:noProof/>
            <w:webHidden/>
          </w:rPr>
          <w:instrText xml:space="preserve"> PAGEREF _Toc266699077 \h </w:instrText>
        </w:r>
        <w:r>
          <w:rPr>
            <w:noProof/>
            <w:webHidden/>
          </w:rPr>
        </w:r>
        <w:r>
          <w:rPr>
            <w:noProof/>
            <w:webHidden/>
          </w:rPr>
          <w:fldChar w:fldCharType="separate"/>
        </w:r>
        <w:r w:rsidR="00EB7E6C">
          <w:rPr>
            <w:noProof/>
            <w:webHidden/>
          </w:rPr>
          <w:t>11</w:t>
        </w:r>
        <w:r>
          <w:rPr>
            <w:noProof/>
            <w:webHidden/>
          </w:rPr>
          <w:fldChar w:fldCharType="end"/>
        </w:r>
      </w:hyperlink>
    </w:p>
    <w:p w:rsidR="00EB7E6C" w:rsidRDefault="00C048E9">
      <w:pPr>
        <w:pStyle w:val="TOC2"/>
        <w:rPr>
          <w:smallCaps w:val="0"/>
          <w:noProof/>
          <w:sz w:val="22"/>
          <w:szCs w:val="22"/>
        </w:rPr>
      </w:pPr>
      <w:hyperlink w:anchor="_Toc266699078" w:history="1">
        <w:r w:rsidR="00EB7E6C" w:rsidRPr="0039625B">
          <w:rPr>
            <w:rStyle w:val="Hyperlink"/>
            <w:noProof/>
          </w:rPr>
          <w:t xml:space="preserve">F. </w:t>
        </w:r>
        <w:r w:rsidR="00EB7E6C">
          <w:rPr>
            <w:smallCaps w:val="0"/>
            <w:noProof/>
            <w:sz w:val="22"/>
            <w:szCs w:val="22"/>
          </w:rPr>
          <w:tab/>
        </w:r>
        <w:r w:rsidR="00EB7E6C" w:rsidRPr="0039625B">
          <w:rPr>
            <w:rStyle w:val="Hyperlink"/>
            <w:noProof/>
          </w:rPr>
          <w:t>Capital Fund – Income</w:t>
        </w:r>
        <w:r w:rsidR="00EB7E6C">
          <w:rPr>
            <w:noProof/>
            <w:webHidden/>
          </w:rPr>
          <w:tab/>
        </w:r>
        <w:r>
          <w:rPr>
            <w:noProof/>
            <w:webHidden/>
          </w:rPr>
          <w:fldChar w:fldCharType="begin"/>
        </w:r>
        <w:r w:rsidR="00EB7E6C">
          <w:rPr>
            <w:noProof/>
            <w:webHidden/>
          </w:rPr>
          <w:instrText xml:space="preserve"> PAGEREF _Toc266699078 \h </w:instrText>
        </w:r>
        <w:r>
          <w:rPr>
            <w:noProof/>
            <w:webHidden/>
          </w:rPr>
        </w:r>
        <w:r>
          <w:rPr>
            <w:noProof/>
            <w:webHidden/>
          </w:rPr>
          <w:fldChar w:fldCharType="separate"/>
        </w:r>
        <w:r w:rsidR="00EB7E6C">
          <w:rPr>
            <w:noProof/>
            <w:webHidden/>
          </w:rPr>
          <w:t>11</w:t>
        </w:r>
        <w:r>
          <w:rPr>
            <w:noProof/>
            <w:webHidden/>
          </w:rPr>
          <w:fldChar w:fldCharType="end"/>
        </w:r>
      </w:hyperlink>
    </w:p>
    <w:p w:rsidR="00EB7E6C" w:rsidRDefault="00C048E9">
      <w:pPr>
        <w:pStyle w:val="TOC2"/>
        <w:rPr>
          <w:smallCaps w:val="0"/>
          <w:noProof/>
          <w:sz w:val="22"/>
          <w:szCs w:val="22"/>
        </w:rPr>
      </w:pPr>
      <w:hyperlink w:anchor="_Toc266699079" w:history="1">
        <w:r w:rsidR="00EB7E6C" w:rsidRPr="0039625B">
          <w:rPr>
            <w:rStyle w:val="Hyperlink"/>
            <w:noProof/>
          </w:rPr>
          <w:t>G.</w:t>
        </w:r>
        <w:r w:rsidR="00EB7E6C">
          <w:rPr>
            <w:smallCaps w:val="0"/>
            <w:noProof/>
            <w:sz w:val="22"/>
            <w:szCs w:val="22"/>
          </w:rPr>
          <w:tab/>
        </w:r>
        <w:r w:rsidR="00EB7E6C" w:rsidRPr="0039625B">
          <w:rPr>
            <w:rStyle w:val="Hyperlink"/>
            <w:noProof/>
          </w:rPr>
          <w:t>Section 8 Program – Expenses</w:t>
        </w:r>
        <w:r w:rsidR="00EB7E6C">
          <w:rPr>
            <w:noProof/>
            <w:webHidden/>
          </w:rPr>
          <w:tab/>
        </w:r>
        <w:r>
          <w:rPr>
            <w:noProof/>
            <w:webHidden/>
          </w:rPr>
          <w:fldChar w:fldCharType="begin"/>
        </w:r>
        <w:r w:rsidR="00EB7E6C">
          <w:rPr>
            <w:noProof/>
            <w:webHidden/>
          </w:rPr>
          <w:instrText xml:space="preserve"> PAGEREF _Toc266699079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0" w:history="1">
        <w:r w:rsidR="00EB7E6C" w:rsidRPr="0039625B">
          <w:rPr>
            <w:rStyle w:val="Hyperlink"/>
            <w:noProof/>
          </w:rPr>
          <w:t xml:space="preserve">H. </w:t>
        </w:r>
        <w:r w:rsidR="00EB7E6C">
          <w:rPr>
            <w:smallCaps w:val="0"/>
            <w:noProof/>
            <w:sz w:val="22"/>
            <w:szCs w:val="22"/>
          </w:rPr>
          <w:tab/>
        </w:r>
        <w:r w:rsidR="00EB7E6C" w:rsidRPr="0039625B">
          <w:rPr>
            <w:rStyle w:val="Hyperlink"/>
            <w:noProof/>
          </w:rPr>
          <w:t>Section 8 Program – Income</w:t>
        </w:r>
        <w:r w:rsidR="00EB7E6C">
          <w:rPr>
            <w:noProof/>
            <w:webHidden/>
          </w:rPr>
          <w:tab/>
        </w:r>
        <w:r>
          <w:rPr>
            <w:noProof/>
            <w:webHidden/>
          </w:rPr>
          <w:fldChar w:fldCharType="begin"/>
        </w:r>
        <w:r w:rsidR="00EB7E6C">
          <w:rPr>
            <w:noProof/>
            <w:webHidden/>
          </w:rPr>
          <w:instrText xml:space="preserve"> PAGEREF _Toc266699080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1" w:history="1">
        <w:r w:rsidR="00EB7E6C" w:rsidRPr="0039625B">
          <w:rPr>
            <w:rStyle w:val="Hyperlink"/>
            <w:noProof/>
          </w:rPr>
          <w:t>I.</w:t>
        </w:r>
        <w:r w:rsidR="00EB7E6C">
          <w:rPr>
            <w:smallCaps w:val="0"/>
            <w:noProof/>
            <w:sz w:val="22"/>
            <w:szCs w:val="22"/>
          </w:rPr>
          <w:tab/>
        </w:r>
        <w:r w:rsidR="00EB7E6C" w:rsidRPr="0039625B">
          <w:rPr>
            <w:rStyle w:val="Hyperlink"/>
            <w:noProof/>
          </w:rPr>
          <w:t>Woodbridge – Expenses</w:t>
        </w:r>
        <w:r w:rsidR="00EB7E6C">
          <w:rPr>
            <w:noProof/>
            <w:webHidden/>
          </w:rPr>
          <w:tab/>
        </w:r>
        <w:r>
          <w:rPr>
            <w:noProof/>
            <w:webHidden/>
          </w:rPr>
          <w:fldChar w:fldCharType="begin"/>
        </w:r>
        <w:r w:rsidR="00EB7E6C">
          <w:rPr>
            <w:noProof/>
            <w:webHidden/>
          </w:rPr>
          <w:instrText xml:space="preserve"> PAGEREF _Toc266699081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2" w:history="1">
        <w:r w:rsidR="00EB7E6C" w:rsidRPr="0039625B">
          <w:rPr>
            <w:rStyle w:val="Hyperlink"/>
            <w:noProof/>
          </w:rPr>
          <w:t>J.</w:t>
        </w:r>
        <w:r w:rsidR="00EB7E6C">
          <w:rPr>
            <w:smallCaps w:val="0"/>
            <w:noProof/>
            <w:sz w:val="22"/>
            <w:szCs w:val="22"/>
          </w:rPr>
          <w:tab/>
        </w:r>
        <w:r w:rsidR="00EB7E6C" w:rsidRPr="0039625B">
          <w:rPr>
            <w:rStyle w:val="Hyperlink"/>
            <w:noProof/>
          </w:rPr>
          <w:t>Woodbridge – Income</w:t>
        </w:r>
        <w:r w:rsidR="00EB7E6C">
          <w:rPr>
            <w:noProof/>
            <w:webHidden/>
          </w:rPr>
          <w:tab/>
        </w:r>
        <w:r>
          <w:rPr>
            <w:noProof/>
            <w:webHidden/>
          </w:rPr>
          <w:fldChar w:fldCharType="begin"/>
        </w:r>
        <w:r w:rsidR="00EB7E6C">
          <w:rPr>
            <w:noProof/>
            <w:webHidden/>
          </w:rPr>
          <w:instrText xml:space="preserve"> PAGEREF _Toc266699082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3" w:history="1">
        <w:r w:rsidR="00EB7E6C" w:rsidRPr="0039625B">
          <w:rPr>
            <w:rStyle w:val="Hyperlink"/>
            <w:noProof/>
          </w:rPr>
          <w:t>K.</w:t>
        </w:r>
        <w:r w:rsidR="00EB7E6C">
          <w:rPr>
            <w:smallCaps w:val="0"/>
            <w:noProof/>
            <w:sz w:val="22"/>
            <w:szCs w:val="22"/>
          </w:rPr>
          <w:tab/>
        </w:r>
        <w:r w:rsidR="00EB7E6C" w:rsidRPr="0039625B">
          <w:rPr>
            <w:rStyle w:val="Hyperlink"/>
            <w:noProof/>
          </w:rPr>
          <w:t>HOPE VI – Expenses</w:t>
        </w:r>
        <w:r w:rsidR="00EB7E6C">
          <w:rPr>
            <w:noProof/>
            <w:webHidden/>
          </w:rPr>
          <w:tab/>
        </w:r>
        <w:r>
          <w:rPr>
            <w:noProof/>
            <w:webHidden/>
          </w:rPr>
          <w:fldChar w:fldCharType="begin"/>
        </w:r>
        <w:r w:rsidR="00EB7E6C">
          <w:rPr>
            <w:noProof/>
            <w:webHidden/>
          </w:rPr>
          <w:instrText xml:space="preserve"> PAGEREF _Toc266699083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4" w:history="1">
        <w:r w:rsidR="00EB7E6C" w:rsidRPr="0039625B">
          <w:rPr>
            <w:rStyle w:val="Hyperlink"/>
            <w:noProof/>
          </w:rPr>
          <w:t>L.</w:t>
        </w:r>
        <w:r w:rsidR="00EB7E6C">
          <w:rPr>
            <w:smallCaps w:val="0"/>
            <w:noProof/>
            <w:sz w:val="22"/>
            <w:szCs w:val="22"/>
          </w:rPr>
          <w:tab/>
        </w:r>
        <w:r w:rsidR="00EB7E6C" w:rsidRPr="0039625B">
          <w:rPr>
            <w:rStyle w:val="Hyperlink"/>
            <w:noProof/>
          </w:rPr>
          <w:t>HOPE VI – Income</w:t>
        </w:r>
        <w:r w:rsidR="00EB7E6C">
          <w:rPr>
            <w:noProof/>
            <w:webHidden/>
          </w:rPr>
          <w:tab/>
        </w:r>
        <w:r>
          <w:rPr>
            <w:noProof/>
            <w:webHidden/>
          </w:rPr>
          <w:fldChar w:fldCharType="begin"/>
        </w:r>
        <w:r w:rsidR="00EB7E6C">
          <w:rPr>
            <w:noProof/>
            <w:webHidden/>
          </w:rPr>
          <w:instrText xml:space="preserve"> PAGEREF _Toc266699084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pPr>
        <w:pStyle w:val="TOC2"/>
        <w:rPr>
          <w:smallCaps w:val="0"/>
          <w:noProof/>
          <w:sz w:val="22"/>
          <w:szCs w:val="22"/>
        </w:rPr>
      </w:pPr>
      <w:hyperlink w:anchor="_Toc266699085" w:history="1">
        <w:r w:rsidR="00EB7E6C" w:rsidRPr="0039625B">
          <w:rPr>
            <w:rStyle w:val="Hyperlink"/>
            <w:noProof/>
          </w:rPr>
          <w:t>M.</w:t>
        </w:r>
        <w:r w:rsidR="00EB7E6C">
          <w:rPr>
            <w:smallCaps w:val="0"/>
            <w:noProof/>
            <w:sz w:val="22"/>
            <w:szCs w:val="22"/>
          </w:rPr>
          <w:tab/>
        </w:r>
        <w:r w:rsidR="00EB7E6C" w:rsidRPr="0039625B">
          <w:rPr>
            <w:rStyle w:val="Hyperlink"/>
            <w:noProof/>
          </w:rPr>
          <w:t>Unallowable Costs</w:t>
        </w:r>
        <w:r w:rsidR="00EB7E6C">
          <w:rPr>
            <w:noProof/>
            <w:webHidden/>
          </w:rPr>
          <w:tab/>
        </w:r>
        <w:r>
          <w:rPr>
            <w:noProof/>
            <w:webHidden/>
          </w:rPr>
          <w:fldChar w:fldCharType="begin"/>
        </w:r>
        <w:r w:rsidR="00EB7E6C">
          <w:rPr>
            <w:noProof/>
            <w:webHidden/>
          </w:rPr>
          <w:instrText xml:space="preserve"> PAGEREF _Toc266699085 \h </w:instrText>
        </w:r>
        <w:r>
          <w:rPr>
            <w:noProof/>
            <w:webHidden/>
          </w:rPr>
        </w:r>
        <w:r>
          <w:rPr>
            <w:noProof/>
            <w:webHidden/>
          </w:rPr>
          <w:fldChar w:fldCharType="separate"/>
        </w:r>
        <w:r w:rsidR="00EB7E6C">
          <w:rPr>
            <w:noProof/>
            <w:webHidden/>
          </w:rPr>
          <w:t>12</w:t>
        </w:r>
        <w:r>
          <w:rPr>
            <w:noProof/>
            <w:webHidden/>
          </w:rPr>
          <w:fldChar w:fldCharType="end"/>
        </w:r>
      </w:hyperlink>
    </w:p>
    <w:p w:rsidR="00EB7E6C" w:rsidRDefault="00C048E9" w:rsidP="00EB7E6C">
      <w:pPr>
        <w:pStyle w:val="TOC1"/>
        <w:rPr>
          <w:noProof/>
          <w:sz w:val="22"/>
          <w:szCs w:val="22"/>
        </w:rPr>
      </w:pPr>
      <w:hyperlink w:anchor="_Toc266699086" w:history="1">
        <w:r w:rsidR="00EB7E6C" w:rsidRPr="0039625B">
          <w:rPr>
            <w:rStyle w:val="Hyperlink"/>
            <w:noProof/>
          </w:rPr>
          <w:t>V.</w:t>
        </w:r>
        <w:r w:rsidR="00EB7E6C">
          <w:rPr>
            <w:noProof/>
            <w:sz w:val="22"/>
            <w:szCs w:val="22"/>
          </w:rPr>
          <w:tab/>
        </w:r>
        <w:r w:rsidR="00EB7E6C" w:rsidRPr="0039625B">
          <w:rPr>
            <w:rStyle w:val="Hyperlink"/>
            <w:noProof/>
          </w:rPr>
          <w:t>CURRENT GUIDANCE ON COST ASSIGNMENT</w:t>
        </w:r>
        <w:r w:rsidR="00EB7E6C" w:rsidRPr="0039625B">
          <w:rPr>
            <w:rStyle w:val="Hyperlink"/>
            <w:noProof/>
            <w:vertAlign w:val="superscript"/>
          </w:rPr>
          <w:t>1</w:t>
        </w:r>
        <w:r w:rsidR="00EB7E6C">
          <w:rPr>
            <w:noProof/>
            <w:webHidden/>
          </w:rPr>
          <w:tab/>
        </w:r>
        <w:r>
          <w:rPr>
            <w:noProof/>
            <w:webHidden/>
          </w:rPr>
          <w:fldChar w:fldCharType="begin"/>
        </w:r>
        <w:r w:rsidR="00EB7E6C">
          <w:rPr>
            <w:noProof/>
            <w:webHidden/>
          </w:rPr>
          <w:instrText xml:space="preserve"> PAGEREF _Toc266699086 \h </w:instrText>
        </w:r>
        <w:r>
          <w:rPr>
            <w:noProof/>
            <w:webHidden/>
          </w:rPr>
        </w:r>
        <w:r>
          <w:rPr>
            <w:noProof/>
            <w:webHidden/>
          </w:rPr>
          <w:fldChar w:fldCharType="separate"/>
        </w:r>
        <w:r w:rsidR="00EB7E6C">
          <w:rPr>
            <w:noProof/>
            <w:webHidden/>
          </w:rPr>
          <w:t>13</w:t>
        </w:r>
        <w:r>
          <w:rPr>
            <w:noProof/>
            <w:webHidden/>
          </w:rPr>
          <w:fldChar w:fldCharType="end"/>
        </w:r>
      </w:hyperlink>
    </w:p>
    <w:p w:rsidR="00EB7E6C" w:rsidRDefault="00C048E9" w:rsidP="00EB7E6C">
      <w:pPr>
        <w:pStyle w:val="TOC1"/>
        <w:rPr>
          <w:noProof/>
          <w:sz w:val="22"/>
          <w:szCs w:val="22"/>
        </w:rPr>
      </w:pPr>
      <w:hyperlink w:anchor="_Toc266699087" w:history="1">
        <w:r w:rsidR="00EB7E6C" w:rsidRPr="0039625B">
          <w:rPr>
            <w:rStyle w:val="Hyperlink"/>
            <w:noProof/>
          </w:rPr>
          <w:t>VI.</w:t>
        </w:r>
        <w:r w:rsidR="00EB7E6C">
          <w:rPr>
            <w:noProof/>
            <w:sz w:val="22"/>
            <w:szCs w:val="22"/>
          </w:rPr>
          <w:tab/>
        </w:r>
        <w:r w:rsidR="00EB7E6C" w:rsidRPr="0039625B">
          <w:rPr>
            <w:rStyle w:val="Hyperlink"/>
            <w:noProof/>
          </w:rPr>
          <w:t>SUBMISSION REQUIREMENTS</w:t>
        </w:r>
        <w:r w:rsidR="00EB7E6C">
          <w:rPr>
            <w:noProof/>
            <w:webHidden/>
          </w:rPr>
          <w:tab/>
        </w:r>
        <w:r>
          <w:rPr>
            <w:noProof/>
            <w:webHidden/>
          </w:rPr>
          <w:fldChar w:fldCharType="begin"/>
        </w:r>
        <w:r w:rsidR="00EB7E6C">
          <w:rPr>
            <w:noProof/>
            <w:webHidden/>
          </w:rPr>
          <w:instrText xml:space="preserve"> PAGEREF _Toc266699087 \h </w:instrText>
        </w:r>
        <w:r>
          <w:rPr>
            <w:noProof/>
            <w:webHidden/>
          </w:rPr>
        </w:r>
        <w:r>
          <w:rPr>
            <w:noProof/>
            <w:webHidden/>
          </w:rPr>
          <w:fldChar w:fldCharType="separate"/>
        </w:r>
        <w:r w:rsidR="00EB7E6C">
          <w:rPr>
            <w:noProof/>
            <w:webHidden/>
          </w:rPr>
          <w:t>15</w:t>
        </w:r>
        <w:r>
          <w:rPr>
            <w:noProof/>
            <w:webHidden/>
          </w:rPr>
          <w:fldChar w:fldCharType="end"/>
        </w:r>
      </w:hyperlink>
    </w:p>
    <w:p w:rsidR="00EB7E6C" w:rsidRDefault="00C048E9">
      <w:pPr>
        <w:pStyle w:val="TOC2"/>
        <w:rPr>
          <w:smallCaps w:val="0"/>
          <w:noProof/>
          <w:sz w:val="22"/>
          <w:szCs w:val="22"/>
        </w:rPr>
      </w:pPr>
      <w:hyperlink w:anchor="_Toc266699088" w:history="1">
        <w:r w:rsidR="00EB7E6C" w:rsidRPr="0039625B">
          <w:rPr>
            <w:rStyle w:val="Hyperlink"/>
            <w:noProof/>
          </w:rPr>
          <w:t>A.</w:t>
        </w:r>
        <w:r w:rsidR="00EB7E6C">
          <w:rPr>
            <w:smallCaps w:val="0"/>
            <w:noProof/>
            <w:sz w:val="22"/>
            <w:szCs w:val="22"/>
          </w:rPr>
          <w:tab/>
        </w:r>
        <w:r w:rsidR="00EB7E6C" w:rsidRPr="0039625B">
          <w:rPr>
            <w:rStyle w:val="Hyperlink"/>
            <w:noProof/>
          </w:rPr>
          <w:t>Plan Revision</w:t>
        </w:r>
        <w:r w:rsidR="00EB7E6C">
          <w:rPr>
            <w:noProof/>
            <w:webHidden/>
          </w:rPr>
          <w:tab/>
        </w:r>
        <w:r>
          <w:rPr>
            <w:noProof/>
            <w:webHidden/>
          </w:rPr>
          <w:fldChar w:fldCharType="begin"/>
        </w:r>
        <w:r w:rsidR="00EB7E6C">
          <w:rPr>
            <w:noProof/>
            <w:webHidden/>
          </w:rPr>
          <w:instrText xml:space="preserve"> PAGEREF _Toc266699088 \h </w:instrText>
        </w:r>
        <w:r>
          <w:rPr>
            <w:noProof/>
            <w:webHidden/>
          </w:rPr>
        </w:r>
        <w:r>
          <w:rPr>
            <w:noProof/>
            <w:webHidden/>
          </w:rPr>
          <w:fldChar w:fldCharType="separate"/>
        </w:r>
        <w:r w:rsidR="00EB7E6C">
          <w:rPr>
            <w:noProof/>
            <w:webHidden/>
          </w:rPr>
          <w:t>15</w:t>
        </w:r>
        <w:r>
          <w:rPr>
            <w:noProof/>
            <w:webHidden/>
          </w:rPr>
          <w:fldChar w:fldCharType="end"/>
        </w:r>
      </w:hyperlink>
    </w:p>
    <w:p w:rsidR="00EB7E6C" w:rsidRDefault="00C048E9">
      <w:pPr>
        <w:pStyle w:val="TOC2"/>
        <w:rPr>
          <w:smallCaps w:val="0"/>
          <w:noProof/>
          <w:sz w:val="22"/>
          <w:szCs w:val="22"/>
        </w:rPr>
      </w:pPr>
      <w:hyperlink w:anchor="_Toc266699089" w:history="1">
        <w:r w:rsidR="00EB7E6C" w:rsidRPr="0039625B">
          <w:rPr>
            <w:rStyle w:val="Hyperlink"/>
            <w:noProof/>
          </w:rPr>
          <w:t>B.</w:t>
        </w:r>
        <w:r w:rsidR="00EB7E6C">
          <w:rPr>
            <w:smallCaps w:val="0"/>
            <w:noProof/>
            <w:sz w:val="22"/>
            <w:szCs w:val="22"/>
          </w:rPr>
          <w:tab/>
        </w:r>
        <w:r w:rsidR="00EB7E6C" w:rsidRPr="0039625B">
          <w:rPr>
            <w:rStyle w:val="Hyperlink"/>
            <w:noProof/>
          </w:rPr>
          <w:t>Documentation Requirements for Submitted Plans</w:t>
        </w:r>
        <w:r w:rsidR="00EB7E6C">
          <w:rPr>
            <w:noProof/>
            <w:webHidden/>
          </w:rPr>
          <w:tab/>
        </w:r>
        <w:r>
          <w:rPr>
            <w:noProof/>
            <w:webHidden/>
          </w:rPr>
          <w:fldChar w:fldCharType="begin"/>
        </w:r>
        <w:r w:rsidR="00EB7E6C">
          <w:rPr>
            <w:noProof/>
            <w:webHidden/>
          </w:rPr>
          <w:instrText xml:space="preserve"> PAGEREF _Toc266699089 \h </w:instrText>
        </w:r>
        <w:r>
          <w:rPr>
            <w:noProof/>
            <w:webHidden/>
          </w:rPr>
        </w:r>
        <w:r>
          <w:rPr>
            <w:noProof/>
            <w:webHidden/>
          </w:rPr>
          <w:fldChar w:fldCharType="separate"/>
        </w:r>
        <w:r w:rsidR="00EB7E6C">
          <w:rPr>
            <w:noProof/>
            <w:webHidden/>
          </w:rPr>
          <w:t>15</w:t>
        </w:r>
        <w:r>
          <w:rPr>
            <w:noProof/>
            <w:webHidden/>
          </w:rPr>
          <w:fldChar w:fldCharType="end"/>
        </w:r>
      </w:hyperlink>
    </w:p>
    <w:p w:rsidR="003E5243" w:rsidRDefault="00C048E9" w:rsidP="00DF67D1">
      <w:pPr>
        <w:pStyle w:val="CM28"/>
        <w:pageBreakBefore/>
        <w:contextualSpacing/>
        <w:jc w:val="center"/>
        <w:rPr>
          <w:rFonts w:ascii="Arial Rounded MT Bold" w:hAnsi="Arial Rounded MT Bold"/>
          <w:b/>
          <w:spacing w:val="-3"/>
          <w:sz w:val="28"/>
        </w:rPr>
      </w:pPr>
      <w:r>
        <w:rPr>
          <w:color w:val="000000"/>
          <w:sz w:val="28"/>
          <w:szCs w:val="28"/>
        </w:rPr>
        <w:lastRenderedPageBreak/>
        <w:fldChar w:fldCharType="end"/>
      </w:r>
      <w:r w:rsidR="003E5243">
        <w:rPr>
          <w:rFonts w:ascii="Arial Rounded MT Bold" w:hAnsi="Arial Rounded MT Bold"/>
          <w:b/>
          <w:spacing w:val="-3"/>
          <w:sz w:val="28"/>
        </w:rPr>
        <w:t>COST DISTRIBUTION AND FEE RECOVERY PLAN</w:t>
      </w:r>
      <w:r w:rsidR="003E5243" w:rsidRPr="003E5243">
        <w:rPr>
          <w:rFonts w:ascii="Arial Rounded MT Bold" w:hAnsi="Arial Rounded MT Bold"/>
          <w:b/>
          <w:spacing w:val="-3"/>
          <w:sz w:val="28"/>
        </w:rPr>
        <w:t xml:space="preserve"> OF THE</w:t>
      </w:r>
    </w:p>
    <w:p w:rsidR="003E5243" w:rsidRDefault="003E5243" w:rsidP="007B765E">
      <w:pPr>
        <w:tabs>
          <w:tab w:val="left" w:pos="360"/>
          <w:tab w:val="left" w:pos="720"/>
          <w:tab w:val="left" w:pos="1080"/>
          <w:tab w:val="left" w:pos="1440"/>
          <w:tab w:val="left" w:pos="1800"/>
          <w:tab w:val="left" w:pos="2160"/>
        </w:tabs>
        <w:suppressAutoHyphens/>
        <w:spacing w:after="120"/>
        <w:jc w:val="center"/>
        <w:rPr>
          <w:rFonts w:ascii="Arial Rounded MT Bold" w:hAnsi="Arial Rounded MT Bold"/>
          <w:b/>
          <w:spacing w:val="-3"/>
          <w:sz w:val="28"/>
        </w:rPr>
      </w:pPr>
      <w:r>
        <w:rPr>
          <w:rFonts w:ascii="Arial Rounded MT Bold" w:hAnsi="Arial Rounded MT Bold"/>
          <w:b/>
          <w:spacing w:val="-3"/>
          <w:sz w:val="28"/>
        </w:rPr>
        <w:t>HOUSING AUTHORITY OF TEXARKANA, TEXAS</w:t>
      </w:r>
    </w:p>
    <w:p w:rsidR="00DF67D1" w:rsidRPr="003E5243" w:rsidRDefault="00DF67D1" w:rsidP="007B765E">
      <w:pPr>
        <w:tabs>
          <w:tab w:val="left" w:pos="360"/>
          <w:tab w:val="left" w:pos="720"/>
          <w:tab w:val="left" w:pos="1080"/>
          <w:tab w:val="left" w:pos="1440"/>
          <w:tab w:val="left" w:pos="1800"/>
          <w:tab w:val="left" w:pos="2160"/>
        </w:tabs>
        <w:suppressAutoHyphens/>
        <w:spacing w:after="120"/>
        <w:jc w:val="center"/>
        <w:rPr>
          <w:rFonts w:ascii="Arial Rounded MT Bold" w:hAnsi="Arial Rounded MT Bold"/>
          <w:b/>
          <w:spacing w:val="-3"/>
          <w:sz w:val="28"/>
        </w:rPr>
      </w:pPr>
    </w:p>
    <w:p w:rsidR="00CD48F5" w:rsidRDefault="003E5243" w:rsidP="00496E27">
      <w:pPr>
        <w:pStyle w:val="Header1"/>
      </w:pPr>
      <w:bookmarkStart w:id="0" w:name="_Toc266699057"/>
      <w:r w:rsidRPr="003E5243">
        <w:t xml:space="preserve">BASIC </w:t>
      </w:r>
      <w:r w:rsidRPr="00496E27">
        <w:t>PRINCIPLES</w:t>
      </w:r>
      <w:bookmarkEnd w:id="0"/>
    </w:p>
    <w:p w:rsidR="003E5243" w:rsidRPr="003E5243" w:rsidRDefault="003E5243" w:rsidP="007B765E">
      <w:pPr>
        <w:pStyle w:val="Default"/>
        <w:jc w:val="both"/>
      </w:pPr>
    </w:p>
    <w:p w:rsidR="0023217C" w:rsidRDefault="0023217C" w:rsidP="007B765E">
      <w:pPr>
        <w:pStyle w:val="CM28"/>
        <w:spacing w:line="243" w:lineRule="atLeast"/>
        <w:ind w:left="360"/>
        <w:jc w:val="both"/>
        <w:rPr>
          <w:color w:val="000000" w:themeColor="text1"/>
        </w:rPr>
      </w:pPr>
      <w:r>
        <w:rPr>
          <w:color w:val="000000" w:themeColor="text1"/>
        </w:rPr>
        <w:t>The Housing Authority of Texarkana Texas (</w:t>
      </w:r>
      <w:r w:rsidRPr="0023217C">
        <w:rPr>
          <w:color w:val="000000" w:themeColor="text1"/>
        </w:rPr>
        <w:t>HATT</w:t>
      </w:r>
      <w:r>
        <w:rPr>
          <w:color w:val="000000" w:themeColor="text1"/>
        </w:rPr>
        <w:t>)</w:t>
      </w:r>
      <w:r w:rsidRPr="0023217C">
        <w:rPr>
          <w:color w:val="000000" w:themeColor="text1"/>
        </w:rPr>
        <w:t xml:space="preserve"> receives Federal Funds to operate federally </w:t>
      </w:r>
      <w:r>
        <w:rPr>
          <w:color w:val="000000" w:themeColor="text1"/>
        </w:rPr>
        <w:t>funded programs and also manage</w:t>
      </w:r>
      <w:r w:rsidRPr="0023217C">
        <w:rPr>
          <w:color w:val="000000" w:themeColor="text1"/>
        </w:rPr>
        <w:t>s, or operates other non</w:t>
      </w:r>
      <w:r w:rsidRPr="0023217C">
        <w:rPr>
          <w:color w:val="000000" w:themeColor="text1"/>
        </w:rPr>
        <w:softHyphen/>
        <w:t>federal programs</w:t>
      </w:r>
      <w:r>
        <w:rPr>
          <w:color w:val="000000" w:themeColor="text1"/>
        </w:rPr>
        <w:t>. The Office of Management and Budget (</w:t>
      </w:r>
      <w:r w:rsidRPr="0023217C">
        <w:rPr>
          <w:color w:val="000000" w:themeColor="text1"/>
        </w:rPr>
        <w:t>OMB</w:t>
      </w:r>
      <w:r>
        <w:rPr>
          <w:color w:val="000000" w:themeColor="text1"/>
        </w:rPr>
        <w:t>)</w:t>
      </w:r>
      <w:r w:rsidRPr="0023217C">
        <w:rPr>
          <w:color w:val="000000" w:themeColor="text1"/>
        </w:rPr>
        <w:t xml:space="preserve"> Circular A</w:t>
      </w:r>
      <w:r w:rsidRPr="0023217C">
        <w:rPr>
          <w:color w:val="000000" w:themeColor="text1"/>
        </w:rPr>
        <w:softHyphen/>
        <w:t xml:space="preserve">87 requires HATT to adopt a cost distribution and fee recovery plan that will insure that those other programs share in the central or indirect cost of operating all of the programs that are operated by the recipients. In accordance with </w:t>
      </w:r>
      <w:r>
        <w:rPr>
          <w:color w:val="000000" w:themeColor="text1"/>
        </w:rPr>
        <w:t>Generally Accepted Accounting Principles (</w:t>
      </w:r>
      <w:r w:rsidRPr="0023217C">
        <w:rPr>
          <w:color w:val="000000" w:themeColor="text1"/>
        </w:rPr>
        <w:t>GAAP</w:t>
      </w:r>
      <w:r>
        <w:rPr>
          <w:color w:val="000000" w:themeColor="text1"/>
        </w:rPr>
        <w:t>)</w:t>
      </w:r>
      <w:r w:rsidRPr="0023217C">
        <w:rPr>
          <w:color w:val="000000" w:themeColor="text1"/>
        </w:rPr>
        <w:t>, expenses, which are expired costs, and revenues must be recognized within the accounting period in which they occurred. HUD, in accordance with 24 CFR 990, part H requires PHA's to be in compliance with OMB Circular A</w:t>
      </w:r>
      <w:r w:rsidRPr="0023217C">
        <w:rPr>
          <w:color w:val="000000" w:themeColor="text1"/>
        </w:rPr>
        <w:softHyphen/>
        <w:t xml:space="preserve">87. </w:t>
      </w:r>
    </w:p>
    <w:p w:rsidR="0023217C" w:rsidRDefault="0023217C" w:rsidP="007B765E">
      <w:pPr>
        <w:pStyle w:val="CM28"/>
        <w:spacing w:line="243" w:lineRule="atLeast"/>
        <w:ind w:left="360"/>
        <w:jc w:val="both"/>
        <w:rPr>
          <w:color w:val="000000" w:themeColor="text1"/>
        </w:rPr>
      </w:pPr>
    </w:p>
    <w:p w:rsidR="0023217C" w:rsidRDefault="0023217C" w:rsidP="007B765E">
      <w:pPr>
        <w:pStyle w:val="CM28"/>
        <w:spacing w:line="243" w:lineRule="atLeast"/>
        <w:ind w:left="360"/>
        <w:jc w:val="both"/>
        <w:rPr>
          <w:color w:val="000000" w:themeColor="text1"/>
        </w:rPr>
      </w:pPr>
      <w:r w:rsidRPr="0023217C">
        <w:rPr>
          <w:color w:val="000000" w:themeColor="text1"/>
        </w:rPr>
        <w:t>The HATT Cost Distribution and</w:t>
      </w:r>
      <w:r w:rsidR="0050499B">
        <w:rPr>
          <w:color w:val="000000" w:themeColor="text1"/>
        </w:rPr>
        <w:t xml:space="preserve"> Fee Recovery Plan </w:t>
      </w:r>
      <w:proofErr w:type="gramStart"/>
      <w:r w:rsidR="0050499B">
        <w:rPr>
          <w:color w:val="000000" w:themeColor="text1"/>
        </w:rPr>
        <w:t>is</w:t>
      </w:r>
      <w:proofErr w:type="gramEnd"/>
      <w:r w:rsidRPr="0023217C">
        <w:rPr>
          <w:color w:val="000000" w:themeColor="text1"/>
        </w:rPr>
        <w:t xml:space="preserve"> broadly described as follows: </w:t>
      </w:r>
    </w:p>
    <w:p w:rsidR="0023217C" w:rsidRPr="0023217C" w:rsidRDefault="0023217C" w:rsidP="007B765E">
      <w:pPr>
        <w:pStyle w:val="Default"/>
        <w:jc w:val="both"/>
      </w:pPr>
    </w:p>
    <w:p w:rsidR="0023217C" w:rsidRPr="0023217C" w:rsidRDefault="0023217C" w:rsidP="003F3717">
      <w:pPr>
        <w:pStyle w:val="Default"/>
        <w:numPr>
          <w:ilvl w:val="0"/>
          <w:numId w:val="3"/>
        </w:numPr>
        <w:spacing w:after="276"/>
        <w:jc w:val="both"/>
        <w:rPr>
          <w:color w:val="000000" w:themeColor="text1"/>
        </w:rPr>
      </w:pPr>
      <w:r w:rsidRPr="0023217C">
        <w:rPr>
          <w:color w:val="000000" w:themeColor="text1"/>
        </w:rPr>
        <w:t>HATT charges each program directly for expenses incurred by the program</w:t>
      </w:r>
      <w:r>
        <w:rPr>
          <w:color w:val="000000" w:themeColor="text1"/>
        </w:rPr>
        <w:t>.</w:t>
      </w:r>
      <w:r w:rsidRPr="0023217C">
        <w:rPr>
          <w:color w:val="000000" w:themeColor="text1"/>
        </w:rPr>
        <w:t xml:space="preserve"> </w:t>
      </w:r>
    </w:p>
    <w:p w:rsidR="0023217C" w:rsidRPr="0023217C" w:rsidRDefault="0023217C" w:rsidP="003F3717">
      <w:pPr>
        <w:pStyle w:val="Default"/>
        <w:numPr>
          <w:ilvl w:val="0"/>
          <w:numId w:val="3"/>
        </w:numPr>
        <w:spacing w:after="276"/>
        <w:jc w:val="both"/>
        <w:rPr>
          <w:color w:val="000000" w:themeColor="text1"/>
        </w:rPr>
      </w:pPr>
      <w:r w:rsidRPr="0023217C">
        <w:rPr>
          <w:color w:val="000000" w:themeColor="text1"/>
        </w:rPr>
        <w:t xml:space="preserve">All central office expenses, including salaries, are pooled in the Central Office Cost Center </w:t>
      </w:r>
      <w:r>
        <w:rPr>
          <w:color w:val="000000" w:themeColor="text1"/>
        </w:rPr>
        <w:t xml:space="preserve">(COCC) </w:t>
      </w:r>
      <w:r w:rsidRPr="0023217C">
        <w:rPr>
          <w:color w:val="000000" w:themeColor="text1"/>
        </w:rPr>
        <w:t>and funded by charging fees to the programs HATT operates</w:t>
      </w:r>
      <w:r>
        <w:rPr>
          <w:color w:val="000000" w:themeColor="text1"/>
        </w:rPr>
        <w:t>.</w:t>
      </w:r>
      <w:r w:rsidRPr="0023217C">
        <w:rPr>
          <w:color w:val="000000" w:themeColor="text1"/>
        </w:rPr>
        <w:t xml:space="preserve"> </w:t>
      </w:r>
    </w:p>
    <w:p w:rsidR="0023217C" w:rsidRPr="0023217C" w:rsidRDefault="0023217C" w:rsidP="003F3717">
      <w:pPr>
        <w:pStyle w:val="Default"/>
        <w:numPr>
          <w:ilvl w:val="0"/>
          <w:numId w:val="3"/>
        </w:numPr>
        <w:jc w:val="both"/>
        <w:rPr>
          <w:color w:val="000000" w:themeColor="text1"/>
        </w:rPr>
      </w:pPr>
      <w:r w:rsidRPr="0023217C">
        <w:rPr>
          <w:color w:val="000000" w:themeColor="text1"/>
        </w:rPr>
        <w:t xml:space="preserve">The Fee for Service method is used to distribute certain frontline costs. These are costs of project functions that are performed in the Central Office and must be charged back to the projects. </w:t>
      </w:r>
    </w:p>
    <w:p w:rsidR="0023217C" w:rsidRPr="0023217C" w:rsidRDefault="0023217C" w:rsidP="007B765E">
      <w:pPr>
        <w:pStyle w:val="Default"/>
        <w:jc w:val="both"/>
        <w:rPr>
          <w:color w:val="000000" w:themeColor="text1"/>
        </w:rPr>
      </w:pPr>
    </w:p>
    <w:p w:rsidR="0023217C" w:rsidRPr="0023217C" w:rsidRDefault="0023217C" w:rsidP="007B765E">
      <w:pPr>
        <w:pStyle w:val="Default"/>
        <w:jc w:val="both"/>
        <w:rPr>
          <w:color w:val="000000" w:themeColor="text1"/>
        </w:rPr>
      </w:pPr>
    </w:p>
    <w:p w:rsidR="0023217C" w:rsidRPr="0023217C" w:rsidRDefault="0023217C" w:rsidP="00496E27">
      <w:pPr>
        <w:pStyle w:val="Header1"/>
      </w:pPr>
      <w:bookmarkStart w:id="1" w:name="_Toc266699058"/>
      <w:r w:rsidRPr="0023217C">
        <w:t>GENERAL ACCOUNTING POLICIES AND COST DISTRIBUTION METHODOLOGY</w:t>
      </w:r>
      <w:bookmarkEnd w:id="1"/>
    </w:p>
    <w:p w:rsidR="0023217C" w:rsidRPr="0023217C" w:rsidRDefault="0023217C" w:rsidP="007B765E">
      <w:pPr>
        <w:pStyle w:val="Default"/>
        <w:jc w:val="both"/>
      </w:pPr>
    </w:p>
    <w:p w:rsidR="00EB7E6C" w:rsidRDefault="00A30969" w:rsidP="003F3717">
      <w:pPr>
        <w:pStyle w:val="CM28"/>
        <w:numPr>
          <w:ilvl w:val="0"/>
          <w:numId w:val="20"/>
        </w:numPr>
        <w:contextualSpacing/>
        <w:jc w:val="both"/>
        <w:rPr>
          <w:color w:val="000000"/>
        </w:rPr>
      </w:pPr>
      <w:bookmarkStart w:id="2" w:name="_Toc266699059"/>
      <w:r w:rsidRPr="00496E27">
        <w:rPr>
          <w:rStyle w:val="Header2Char"/>
        </w:rPr>
        <w:t>Basis of Accounting</w:t>
      </w:r>
      <w:bookmarkEnd w:id="2"/>
      <w:r w:rsidRPr="00126658">
        <w:rPr>
          <w:color w:val="000000"/>
        </w:rPr>
        <w:t xml:space="preserve"> </w:t>
      </w:r>
      <w:r w:rsidRPr="00126658">
        <w:rPr>
          <w:color w:val="000000"/>
        </w:rPr>
        <w:softHyphen/>
      </w:r>
    </w:p>
    <w:p w:rsidR="00EB7E6C" w:rsidRDefault="00EB7E6C" w:rsidP="00EB7E6C">
      <w:pPr>
        <w:pStyle w:val="CM28"/>
        <w:ind w:left="720"/>
        <w:contextualSpacing/>
        <w:jc w:val="both"/>
        <w:rPr>
          <w:color w:val="000000"/>
        </w:rPr>
      </w:pPr>
    </w:p>
    <w:p w:rsidR="00EB7E6C" w:rsidRDefault="00A30969" w:rsidP="00EB7E6C">
      <w:pPr>
        <w:pStyle w:val="CM28"/>
        <w:ind w:left="720"/>
        <w:contextualSpacing/>
        <w:jc w:val="both"/>
        <w:rPr>
          <w:color w:val="000000"/>
        </w:rPr>
      </w:pPr>
      <w:r w:rsidRPr="00126658">
        <w:rPr>
          <w:color w:val="000000"/>
        </w:rPr>
        <w:t>Accrual Basis</w:t>
      </w:r>
    </w:p>
    <w:p w:rsidR="00EB7E6C" w:rsidRPr="00EB7E6C" w:rsidRDefault="00EB7E6C" w:rsidP="00EB7E6C">
      <w:pPr>
        <w:pStyle w:val="Default"/>
      </w:pPr>
    </w:p>
    <w:p w:rsidR="00EB7E6C" w:rsidRDefault="00EB7E6C" w:rsidP="003F3717">
      <w:pPr>
        <w:pStyle w:val="CM28"/>
        <w:numPr>
          <w:ilvl w:val="0"/>
          <w:numId w:val="20"/>
        </w:numPr>
        <w:contextualSpacing/>
        <w:jc w:val="both"/>
        <w:rPr>
          <w:color w:val="000000"/>
        </w:rPr>
      </w:pPr>
      <w:bookmarkStart w:id="3" w:name="_Toc266699060"/>
      <w:r>
        <w:rPr>
          <w:rStyle w:val="Header2Char"/>
        </w:rPr>
        <w:t>Fiscal Period</w:t>
      </w:r>
      <w:bookmarkEnd w:id="3"/>
    </w:p>
    <w:p w:rsidR="00EB7E6C" w:rsidRDefault="00EB7E6C" w:rsidP="00EB7E6C">
      <w:pPr>
        <w:pStyle w:val="CM28"/>
        <w:ind w:left="720"/>
        <w:contextualSpacing/>
        <w:jc w:val="both"/>
        <w:rPr>
          <w:color w:val="000000"/>
        </w:rPr>
      </w:pPr>
    </w:p>
    <w:p w:rsidR="00CC27EB" w:rsidRDefault="00EB7E6C" w:rsidP="00EB7E6C">
      <w:pPr>
        <w:pStyle w:val="CM28"/>
        <w:ind w:left="720"/>
        <w:contextualSpacing/>
        <w:jc w:val="both"/>
        <w:rPr>
          <w:color w:val="000000"/>
        </w:rPr>
      </w:pPr>
      <w:r>
        <w:rPr>
          <w:color w:val="000000"/>
        </w:rPr>
        <w:t>January 1 – December 31</w:t>
      </w:r>
      <w:r w:rsidR="00A30969" w:rsidRPr="00126658">
        <w:rPr>
          <w:color w:val="000000"/>
        </w:rPr>
        <w:t xml:space="preserve"> </w:t>
      </w:r>
    </w:p>
    <w:p w:rsidR="00CD48F5" w:rsidRPr="00EB7E6C" w:rsidRDefault="00CD48F5" w:rsidP="00EB7E6C">
      <w:pPr>
        <w:pStyle w:val="CM28"/>
        <w:contextualSpacing/>
        <w:jc w:val="both"/>
        <w:rPr>
          <w:b/>
        </w:rPr>
      </w:pPr>
    </w:p>
    <w:p w:rsidR="000F4850" w:rsidRPr="00CC27EB" w:rsidRDefault="00CC27EB" w:rsidP="00EB7E6C">
      <w:pPr>
        <w:pStyle w:val="Header2"/>
      </w:pPr>
      <w:bookmarkStart w:id="4" w:name="_Toc266699061"/>
      <w:r w:rsidRPr="00F16C47">
        <w:t>C.</w:t>
      </w:r>
      <w:r w:rsidRPr="00F16C47">
        <w:tab/>
      </w:r>
      <w:r w:rsidR="000F4850" w:rsidRPr="00CC27EB">
        <w:t xml:space="preserve">Factors </w:t>
      </w:r>
      <w:r w:rsidR="00574C56" w:rsidRPr="00CC27EB">
        <w:t xml:space="preserve">Affecting </w:t>
      </w:r>
      <w:proofErr w:type="spellStart"/>
      <w:r w:rsidR="00574C56" w:rsidRPr="00CC27EB">
        <w:t>Allowability</w:t>
      </w:r>
      <w:proofErr w:type="spellEnd"/>
      <w:r w:rsidR="00574C56" w:rsidRPr="00CC27EB">
        <w:t xml:space="preserve"> of Costs</w:t>
      </w:r>
      <w:bookmarkEnd w:id="4"/>
    </w:p>
    <w:p w:rsidR="00CD48F5" w:rsidRDefault="00CD48F5" w:rsidP="007B765E">
      <w:pPr>
        <w:pStyle w:val="CM28"/>
        <w:ind w:left="720"/>
        <w:contextualSpacing/>
        <w:jc w:val="both"/>
        <w:rPr>
          <w:color w:val="000000"/>
        </w:rPr>
      </w:pPr>
    </w:p>
    <w:p w:rsidR="000F4850" w:rsidRDefault="00574C56" w:rsidP="007B765E">
      <w:pPr>
        <w:pStyle w:val="CM28"/>
        <w:ind w:left="720"/>
        <w:contextualSpacing/>
        <w:jc w:val="both"/>
        <w:rPr>
          <w:color w:val="000000"/>
        </w:rPr>
      </w:pPr>
      <w:r w:rsidRPr="00126658">
        <w:rPr>
          <w:color w:val="000000"/>
        </w:rPr>
        <w:t xml:space="preserve">To be allowable under Federal awards, costs must meet the following general criteria: </w:t>
      </w:r>
    </w:p>
    <w:p w:rsidR="00CD48F5" w:rsidRPr="00CD48F5" w:rsidRDefault="00CD48F5" w:rsidP="007B765E">
      <w:pPr>
        <w:pStyle w:val="Default"/>
        <w:jc w:val="both"/>
      </w:pPr>
    </w:p>
    <w:p w:rsidR="00F16C47" w:rsidRDefault="00574C56" w:rsidP="003F3717">
      <w:pPr>
        <w:pStyle w:val="Default"/>
        <w:numPr>
          <w:ilvl w:val="0"/>
          <w:numId w:val="6"/>
        </w:numPr>
        <w:tabs>
          <w:tab w:val="left" w:pos="1080"/>
        </w:tabs>
        <w:contextualSpacing/>
        <w:jc w:val="both"/>
      </w:pPr>
      <w:r w:rsidRPr="00126658">
        <w:t>Be necessary and reasonable for proper and efficient performance and ad</w:t>
      </w:r>
      <w:r w:rsidR="00F16C47">
        <w:t>ministration of Federal awards.</w:t>
      </w:r>
    </w:p>
    <w:p w:rsidR="00CD48F5" w:rsidRDefault="00CD48F5" w:rsidP="007B765E">
      <w:pPr>
        <w:pStyle w:val="Default"/>
        <w:tabs>
          <w:tab w:val="left" w:pos="1080"/>
        </w:tabs>
        <w:ind w:left="1080"/>
        <w:contextualSpacing/>
        <w:jc w:val="both"/>
      </w:pPr>
    </w:p>
    <w:p w:rsidR="00F16C47" w:rsidRDefault="00574C56" w:rsidP="003F3717">
      <w:pPr>
        <w:pStyle w:val="Default"/>
        <w:numPr>
          <w:ilvl w:val="0"/>
          <w:numId w:val="6"/>
        </w:numPr>
        <w:tabs>
          <w:tab w:val="left" w:pos="1080"/>
        </w:tabs>
        <w:contextualSpacing/>
        <w:jc w:val="both"/>
      </w:pPr>
      <w:r w:rsidRPr="00126658">
        <w:t>Be allocable to Federal awards under the provisions of OMB A</w:t>
      </w:r>
      <w:r w:rsidRPr="00126658">
        <w:softHyphen/>
        <w:t xml:space="preserve">87. </w:t>
      </w:r>
    </w:p>
    <w:p w:rsidR="00CD48F5" w:rsidRDefault="00CD48F5" w:rsidP="007B765E">
      <w:pPr>
        <w:pStyle w:val="Default"/>
        <w:tabs>
          <w:tab w:val="left" w:pos="1080"/>
        </w:tabs>
        <w:contextualSpacing/>
        <w:jc w:val="both"/>
      </w:pPr>
    </w:p>
    <w:p w:rsidR="00F16C47" w:rsidRDefault="00574C56" w:rsidP="003F3717">
      <w:pPr>
        <w:pStyle w:val="Default"/>
        <w:numPr>
          <w:ilvl w:val="0"/>
          <w:numId w:val="6"/>
        </w:numPr>
        <w:tabs>
          <w:tab w:val="left" w:pos="1080"/>
        </w:tabs>
        <w:contextualSpacing/>
        <w:jc w:val="both"/>
      </w:pPr>
      <w:r w:rsidRPr="00126658">
        <w:t xml:space="preserve">Be authorized or not prohibited under State or local laws or regulations. </w:t>
      </w:r>
    </w:p>
    <w:p w:rsidR="00CD48F5" w:rsidRDefault="00CD48F5" w:rsidP="007B765E">
      <w:pPr>
        <w:pStyle w:val="Default"/>
        <w:tabs>
          <w:tab w:val="left" w:pos="1080"/>
        </w:tabs>
        <w:contextualSpacing/>
        <w:jc w:val="both"/>
      </w:pPr>
    </w:p>
    <w:p w:rsidR="00F16C47" w:rsidRDefault="00574C56" w:rsidP="003F3717">
      <w:pPr>
        <w:pStyle w:val="Default"/>
        <w:numPr>
          <w:ilvl w:val="0"/>
          <w:numId w:val="6"/>
        </w:numPr>
        <w:tabs>
          <w:tab w:val="left" w:pos="1080"/>
        </w:tabs>
        <w:contextualSpacing/>
        <w:jc w:val="both"/>
      </w:pPr>
      <w:r w:rsidRPr="00126658">
        <w:t xml:space="preserve">Conform to any limitations or exclusions set forth in these principles, Federal laws, terms and conditions of the Federal award, or other governing regulations as to types or amounts of cost items. </w:t>
      </w:r>
    </w:p>
    <w:p w:rsidR="00CD48F5" w:rsidRDefault="00CD48F5" w:rsidP="007B765E">
      <w:pPr>
        <w:pStyle w:val="Default"/>
        <w:tabs>
          <w:tab w:val="left" w:pos="1080"/>
        </w:tabs>
        <w:contextualSpacing/>
        <w:jc w:val="both"/>
      </w:pPr>
    </w:p>
    <w:p w:rsidR="00F16C47" w:rsidRDefault="00574C56" w:rsidP="003F3717">
      <w:pPr>
        <w:pStyle w:val="Default"/>
        <w:numPr>
          <w:ilvl w:val="0"/>
          <w:numId w:val="6"/>
        </w:numPr>
        <w:tabs>
          <w:tab w:val="left" w:pos="1080"/>
        </w:tabs>
        <w:contextualSpacing/>
        <w:jc w:val="both"/>
      </w:pPr>
      <w:r w:rsidRPr="00126658">
        <w:t xml:space="preserve">Be consistent with policies, regulations, and procedures that apply uniformly to both Federal awards and other activities of the HATT </w:t>
      </w:r>
      <w:r w:rsidR="0050499B">
        <w:t xml:space="preserve">Central Office </w:t>
      </w:r>
      <w:r w:rsidRPr="00126658">
        <w:t xml:space="preserve">Cost Center. </w:t>
      </w:r>
    </w:p>
    <w:p w:rsidR="00CD48F5" w:rsidRDefault="00CD48F5" w:rsidP="007B765E">
      <w:pPr>
        <w:pStyle w:val="Default"/>
        <w:tabs>
          <w:tab w:val="left" w:pos="1080"/>
        </w:tabs>
        <w:contextualSpacing/>
        <w:jc w:val="both"/>
      </w:pPr>
    </w:p>
    <w:p w:rsidR="00F16C47" w:rsidRDefault="00574C56" w:rsidP="003F3717">
      <w:pPr>
        <w:pStyle w:val="Default"/>
        <w:numPr>
          <w:ilvl w:val="0"/>
          <w:numId w:val="6"/>
        </w:numPr>
        <w:tabs>
          <w:tab w:val="left" w:pos="1080"/>
        </w:tabs>
        <w:contextualSpacing/>
        <w:jc w:val="both"/>
      </w:pPr>
      <w:r w:rsidRPr="00126658">
        <w:t xml:space="preserve">Be accorded consistent treatment. A cost may not be assigned to a Federal award as a direct cost if any other cost incurred for the same purpose in like circumstances has been distributed to the Federal award as an indirect cost. </w:t>
      </w:r>
    </w:p>
    <w:p w:rsidR="00CD48F5" w:rsidRDefault="00CD48F5" w:rsidP="007B765E">
      <w:pPr>
        <w:pStyle w:val="Default"/>
        <w:tabs>
          <w:tab w:val="left" w:pos="1080"/>
        </w:tabs>
        <w:contextualSpacing/>
        <w:jc w:val="both"/>
      </w:pPr>
    </w:p>
    <w:p w:rsidR="000F4850" w:rsidRDefault="00574C56" w:rsidP="003F3717">
      <w:pPr>
        <w:pStyle w:val="Default"/>
        <w:numPr>
          <w:ilvl w:val="0"/>
          <w:numId w:val="6"/>
        </w:numPr>
        <w:tabs>
          <w:tab w:val="left" w:pos="1080"/>
        </w:tabs>
        <w:contextualSpacing/>
        <w:jc w:val="both"/>
      </w:pPr>
      <w:r w:rsidRPr="00126658">
        <w:t xml:space="preserve">Except as otherwise provided for in this plan, be determined in accordance with generally accepted accounting principles. </w:t>
      </w:r>
    </w:p>
    <w:p w:rsidR="00CD48F5" w:rsidRPr="00126658" w:rsidRDefault="00CD48F5" w:rsidP="007B765E">
      <w:pPr>
        <w:pStyle w:val="Default"/>
        <w:tabs>
          <w:tab w:val="left" w:pos="1080"/>
        </w:tabs>
        <w:contextualSpacing/>
        <w:jc w:val="both"/>
      </w:pPr>
    </w:p>
    <w:p w:rsidR="00F16C47" w:rsidRPr="00496E27" w:rsidRDefault="00574C56" w:rsidP="00496E27">
      <w:pPr>
        <w:pStyle w:val="Header2"/>
        <w:rPr>
          <w:b w:val="0"/>
        </w:rPr>
      </w:pPr>
      <w:bookmarkStart w:id="5" w:name="_Toc266699062"/>
      <w:r w:rsidRPr="00496E27">
        <w:rPr>
          <w:rStyle w:val="Style2Char"/>
          <w:b/>
        </w:rPr>
        <w:t>D</w:t>
      </w:r>
      <w:r w:rsidR="008279C9" w:rsidRPr="00496E27">
        <w:rPr>
          <w:rStyle w:val="Style2Char"/>
          <w:b/>
        </w:rPr>
        <w:t xml:space="preserve">. </w:t>
      </w:r>
      <w:r w:rsidR="00F16C47" w:rsidRPr="00496E27">
        <w:rPr>
          <w:rStyle w:val="Style2Char"/>
          <w:b/>
        </w:rPr>
        <w:tab/>
      </w:r>
      <w:r w:rsidR="008279C9" w:rsidRPr="00496E27">
        <w:rPr>
          <w:rStyle w:val="Style2Char"/>
          <w:b/>
        </w:rPr>
        <w:t>Description of Cost Distribution Methodology</w:t>
      </w:r>
      <w:r w:rsidR="008279C9" w:rsidRPr="00496E27">
        <w:rPr>
          <w:b w:val="0"/>
        </w:rPr>
        <w:t>:</w:t>
      </w:r>
      <w:bookmarkEnd w:id="5"/>
      <w:r w:rsidR="008279C9" w:rsidRPr="00496E27">
        <w:rPr>
          <w:b w:val="0"/>
        </w:rPr>
        <w:t xml:space="preserve"> </w:t>
      </w:r>
    </w:p>
    <w:p w:rsidR="00CD48F5" w:rsidRPr="00CD48F5" w:rsidRDefault="00CD48F5" w:rsidP="007B765E">
      <w:pPr>
        <w:pStyle w:val="Default"/>
        <w:jc w:val="both"/>
      </w:pPr>
    </w:p>
    <w:p w:rsidR="00D461C3" w:rsidRDefault="00F16C47" w:rsidP="007B765E">
      <w:pPr>
        <w:pStyle w:val="CM28"/>
        <w:tabs>
          <w:tab w:val="left" w:pos="360"/>
          <w:tab w:val="left" w:pos="720"/>
        </w:tabs>
        <w:ind w:left="720" w:right="97" w:hanging="720"/>
        <w:contextualSpacing/>
        <w:jc w:val="both"/>
        <w:rPr>
          <w:color w:val="000000"/>
        </w:rPr>
      </w:pPr>
      <w:r>
        <w:rPr>
          <w:rStyle w:val="Style2Char"/>
        </w:rPr>
        <w:tab/>
      </w:r>
      <w:r w:rsidR="00B00EFF">
        <w:rPr>
          <w:rStyle w:val="Style2Char"/>
        </w:rPr>
        <w:tab/>
      </w:r>
      <w:r w:rsidR="008279C9" w:rsidRPr="00126658">
        <w:rPr>
          <w:color w:val="000000"/>
        </w:rPr>
        <w:t xml:space="preserve">HATT uses multiple cost pools to account and distribute costs. Agency </w:t>
      </w:r>
      <w:r w:rsidR="008279C9" w:rsidRPr="00126658">
        <w:rPr>
          <w:color w:val="000000"/>
        </w:rPr>
        <w:softHyphen/>
        <w:t>wide costs are pooled in the Central Office Cost Center (COCC) and are funded using a fee</w:t>
      </w:r>
      <w:r w:rsidR="008279C9" w:rsidRPr="00126658">
        <w:rPr>
          <w:color w:val="000000"/>
        </w:rPr>
        <w:softHyphen/>
        <w:t xml:space="preserve"> for </w:t>
      </w:r>
      <w:r w:rsidR="008279C9" w:rsidRPr="00126658">
        <w:rPr>
          <w:color w:val="000000"/>
        </w:rPr>
        <w:softHyphen/>
        <w:t>service approach as prescribed in OMB A</w:t>
      </w:r>
      <w:r w:rsidR="008279C9" w:rsidRPr="00126658">
        <w:rPr>
          <w:color w:val="000000"/>
        </w:rPr>
        <w:softHyphen/>
        <w:t>87. HATT directly charges each program for costs to the fullest extent possible and</w:t>
      </w:r>
      <w:r w:rsidR="00A30969" w:rsidRPr="00126658">
        <w:rPr>
          <w:color w:val="000000"/>
        </w:rPr>
        <w:t xml:space="preserve"> where administratively feasible. </w:t>
      </w:r>
    </w:p>
    <w:p w:rsidR="00CD48F5" w:rsidRPr="00CD48F5" w:rsidRDefault="00CD48F5" w:rsidP="007B765E">
      <w:pPr>
        <w:pStyle w:val="Default"/>
        <w:jc w:val="both"/>
      </w:pPr>
    </w:p>
    <w:p w:rsidR="00F16C47" w:rsidRDefault="00A30969" w:rsidP="003F3717">
      <w:pPr>
        <w:pStyle w:val="CM10"/>
        <w:numPr>
          <w:ilvl w:val="0"/>
          <w:numId w:val="7"/>
        </w:numPr>
        <w:tabs>
          <w:tab w:val="left" w:pos="1080"/>
        </w:tabs>
        <w:spacing w:line="240" w:lineRule="auto"/>
        <w:ind w:right="132"/>
        <w:contextualSpacing/>
        <w:jc w:val="both"/>
        <w:rPr>
          <w:color w:val="000000"/>
        </w:rPr>
      </w:pPr>
      <w:r w:rsidRPr="00126658">
        <w:rPr>
          <w:color w:val="000000"/>
        </w:rPr>
        <w:t xml:space="preserve">Low Rent </w:t>
      </w:r>
      <w:r w:rsidR="0050499B">
        <w:rPr>
          <w:color w:val="000000"/>
        </w:rPr>
        <w:t>Public H</w:t>
      </w:r>
      <w:r w:rsidRPr="00126658">
        <w:rPr>
          <w:color w:val="000000"/>
        </w:rPr>
        <w:t xml:space="preserve">ousing costs that are not attributable to a specific project are pooled in a </w:t>
      </w:r>
      <w:r w:rsidR="00B24553" w:rsidRPr="00126658">
        <w:rPr>
          <w:color w:val="000000"/>
        </w:rPr>
        <w:t xml:space="preserve">Central Office Cost Center </w:t>
      </w:r>
      <w:r w:rsidRPr="00126658">
        <w:rPr>
          <w:color w:val="000000"/>
        </w:rPr>
        <w:t>(COCC), which is funded by property management fee</w:t>
      </w:r>
      <w:r w:rsidR="00B24553" w:rsidRPr="00126658">
        <w:rPr>
          <w:color w:val="000000"/>
        </w:rPr>
        <w:t>s</w:t>
      </w:r>
      <w:r w:rsidRPr="00126658">
        <w:rPr>
          <w:color w:val="000000"/>
        </w:rPr>
        <w:t xml:space="preserve"> and bookkeeping fee</w:t>
      </w:r>
      <w:r w:rsidR="00B24553" w:rsidRPr="00126658">
        <w:rPr>
          <w:color w:val="000000"/>
        </w:rPr>
        <w:t>s paid by each Asset Management Project (AMP) and/or Housing Program</w:t>
      </w:r>
      <w:r w:rsidRPr="00126658">
        <w:rPr>
          <w:color w:val="000000"/>
        </w:rPr>
        <w:t>.</w:t>
      </w:r>
    </w:p>
    <w:p w:rsidR="00F16C47" w:rsidRPr="00F16C47" w:rsidRDefault="00F16C47" w:rsidP="007B765E">
      <w:pPr>
        <w:pStyle w:val="Default"/>
        <w:contextualSpacing/>
        <w:jc w:val="both"/>
      </w:pPr>
    </w:p>
    <w:p w:rsidR="00D461C3" w:rsidRDefault="00A30969" w:rsidP="003F3717">
      <w:pPr>
        <w:pStyle w:val="CM10"/>
        <w:numPr>
          <w:ilvl w:val="0"/>
          <w:numId w:val="7"/>
        </w:numPr>
        <w:tabs>
          <w:tab w:val="left" w:pos="1080"/>
        </w:tabs>
        <w:spacing w:line="240" w:lineRule="auto"/>
        <w:ind w:right="132"/>
        <w:contextualSpacing/>
        <w:jc w:val="both"/>
        <w:rPr>
          <w:color w:val="000000"/>
        </w:rPr>
      </w:pPr>
      <w:r w:rsidRPr="00126658">
        <w:rPr>
          <w:color w:val="000000"/>
        </w:rPr>
        <w:t>Front line costs of public housing are either accounted for by a fee</w:t>
      </w:r>
      <w:r w:rsidRPr="00126658">
        <w:rPr>
          <w:color w:val="000000"/>
        </w:rPr>
        <w:softHyphen/>
      </w:r>
      <w:r w:rsidR="00316664" w:rsidRPr="00126658">
        <w:rPr>
          <w:color w:val="000000"/>
        </w:rPr>
        <w:t xml:space="preserve"> </w:t>
      </w:r>
      <w:r w:rsidRPr="00126658">
        <w:rPr>
          <w:color w:val="000000"/>
        </w:rPr>
        <w:t>for</w:t>
      </w:r>
      <w:r w:rsidR="00316664" w:rsidRPr="00126658">
        <w:rPr>
          <w:color w:val="000000"/>
        </w:rPr>
        <w:t xml:space="preserve"> </w:t>
      </w:r>
      <w:r w:rsidRPr="00126658">
        <w:rPr>
          <w:color w:val="000000"/>
        </w:rPr>
        <w:softHyphen/>
        <w:t>service basis, are distributed on a pro</w:t>
      </w:r>
      <w:r w:rsidR="00F57618">
        <w:rPr>
          <w:color w:val="000000"/>
        </w:rPr>
        <w:t xml:space="preserve"> </w:t>
      </w:r>
      <w:r w:rsidRPr="00126658">
        <w:rPr>
          <w:color w:val="000000"/>
        </w:rPr>
        <w:softHyphen/>
        <w:t xml:space="preserve">rata basis, or are directly charged to each project. </w:t>
      </w:r>
    </w:p>
    <w:p w:rsidR="00F16C47" w:rsidRPr="00F16C47" w:rsidRDefault="00F16C47" w:rsidP="007B765E">
      <w:pPr>
        <w:pStyle w:val="Default"/>
        <w:contextualSpacing/>
        <w:jc w:val="both"/>
      </w:pPr>
    </w:p>
    <w:p w:rsidR="00CD48F5" w:rsidRDefault="00574C56" w:rsidP="00496E27">
      <w:pPr>
        <w:pStyle w:val="Header2"/>
      </w:pPr>
      <w:bookmarkStart w:id="6" w:name="_Toc266699063"/>
      <w:r w:rsidRPr="00126658">
        <w:t>E</w:t>
      </w:r>
      <w:r w:rsidR="00A30969" w:rsidRPr="00126658">
        <w:t xml:space="preserve">. </w:t>
      </w:r>
      <w:r w:rsidR="00F16C47">
        <w:tab/>
      </w:r>
      <w:r w:rsidR="00A30969" w:rsidRPr="00126658">
        <w:t>Distribution of Salaries and Wages</w:t>
      </w:r>
      <w:bookmarkEnd w:id="6"/>
    </w:p>
    <w:p w:rsidR="00451B54" w:rsidRPr="00126658" w:rsidRDefault="00A30969" w:rsidP="007B765E">
      <w:pPr>
        <w:pStyle w:val="Style2"/>
        <w:tabs>
          <w:tab w:val="clear" w:pos="360"/>
        </w:tabs>
        <w:spacing w:after="0" w:line="240" w:lineRule="auto"/>
        <w:ind w:hanging="360"/>
        <w:contextualSpacing/>
        <w:jc w:val="both"/>
      </w:pPr>
      <w:r w:rsidRPr="00126658">
        <w:t xml:space="preserve"> </w:t>
      </w:r>
    </w:p>
    <w:p w:rsidR="00F57618" w:rsidRDefault="00A30969" w:rsidP="003F3717">
      <w:pPr>
        <w:pStyle w:val="Style3"/>
        <w:numPr>
          <w:ilvl w:val="0"/>
          <w:numId w:val="14"/>
        </w:numPr>
        <w:spacing w:line="240" w:lineRule="auto"/>
        <w:contextualSpacing/>
        <w:jc w:val="both"/>
      </w:pPr>
      <w:r w:rsidRPr="00126658">
        <w:t>Central Office Cost Center (COCC)</w:t>
      </w:r>
    </w:p>
    <w:p w:rsidR="00D461C3" w:rsidRPr="00126658" w:rsidRDefault="00A30969" w:rsidP="007B765E">
      <w:pPr>
        <w:pStyle w:val="Style3"/>
        <w:spacing w:line="240" w:lineRule="auto"/>
        <w:ind w:left="1080" w:firstLine="0"/>
        <w:contextualSpacing/>
        <w:jc w:val="both"/>
      </w:pPr>
      <w:r w:rsidRPr="00126658">
        <w:t xml:space="preserve"> </w:t>
      </w:r>
    </w:p>
    <w:p w:rsidR="00D461C3" w:rsidRPr="00126658" w:rsidRDefault="00A30969" w:rsidP="007B765E">
      <w:pPr>
        <w:pStyle w:val="CM28"/>
        <w:tabs>
          <w:tab w:val="left" w:pos="720"/>
          <w:tab w:val="left" w:pos="1080"/>
        </w:tabs>
        <w:ind w:left="1080" w:right="412"/>
        <w:contextualSpacing/>
        <w:jc w:val="both"/>
        <w:rPr>
          <w:color w:val="000000"/>
        </w:rPr>
      </w:pPr>
      <w:r w:rsidRPr="00126658">
        <w:rPr>
          <w:color w:val="000000"/>
        </w:rPr>
        <w:t>Employees that work o</w:t>
      </w:r>
      <w:r w:rsidR="00451B54" w:rsidRPr="00126658">
        <w:rPr>
          <w:color w:val="000000"/>
        </w:rPr>
        <w:t xml:space="preserve">n multiple programs within HATT </w:t>
      </w:r>
      <w:r w:rsidRPr="00126658">
        <w:rPr>
          <w:color w:val="000000"/>
        </w:rPr>
        <w:t xml:space="preserve">or a single grant funded program are assigned to the COCC. Income for the COCC comes from fees charged to all programs and grants within HATT. </w:t>
      </w:r>
    </w:p>
    <w:p w:rsidR="00CD48F5" w:rsidRDefault="00CD48F5" w:rsidP="007B765E">
      <w:pPr>
        <w:pStyle w:val="Style3"/>
        <w:tabs>
          <w:tab w:val="left" w:pos="720"/>
        </w:tabs>
        <w:spacing w:line="240" w:lineRule="auto"/>
        <w:contextualSpacing/>
        <w:jc w:val="both"/>
      </w:pPr>
    </w:p>
    <w:p w:rsidR="00D461C3" w:rsidRPr="00126658" w:rsidRDefault="0033251B" w:rsidP="007B765E">
      <w:pPr>
        <w:pStyle w:val="Style3"/>
        <w:tabs>
          <w:tab w:val="left" w:pos="720"/>
        </w:tabs>
        <w:spacing w:line="240" w:lineRule="auto"/>
        <w:contextualSpacing/>
        <w:jc w:val="both"/>
      </w:pPr>
      <w:r>
        <w:t>2.</w:t>
      </w:r>
      <w:r w:rsidR="00A30969" w:rsidRPr="00126658">
        <w:t xml:space="preserve"> </w:t>
      </w:r>
      <w:r w:rsidR="00F16C47">
        <w:tab/>
      </w:r>
      <w:r w:rsidR="00A30969" w:rsidRPr="00126658">
        <w:t xml:space="preserve">Public Housing AMPs </w:t>
      </w:r>
    </w:p>
    <w:p w:rsidR="00F16C47" w:rsidRDefault="00F16C47" w:rsidP="007B765E">
      <w:pPr>
        <w:pStyle w:val="Default"/>
        <w:tabs>
          <w:tab w:val="left" w:pos="720"/>
          <w:tab w:val="left" w:pos="1080"/>
        </w:tabs>
        <w:ind w:right="132"/>
        <w:contextualSpacing/>
        <w:jc w:val="both"/>
      </w:pPr>
    </w:p>
    <w:p w:rsidR="00F16C47" w:rsidRDefault="0084064A" w:rsidP="007B765E">
      <w:pPr>
        <w:pStyle w:val="Default"/>
        <w:tabs>
          <w:tab w:val="left" w:pos="720"/>
          <w:tab w:val="left" w:pos="1080"/>
        </w:tabs>
        <w:ind w:left="1080" w:right="132"/>
        <w:contextualSpacing/>
        <w:jc w:val="both"/>
      </w:pPr>
      <w:r>
        <w:t>The Public Housing AMP</w:t>
      </w:r>
      <w:r w:rsidR="00A30969" w:rsidRPr="00126658">
        <w:t xml:space="preserve"> cost pool consists of all personnel salaries that are attributable directly to a public housing property. </w:t>
      </w:r>
    </w:p>
    <w:p w:rsidR="00F16C47" w:rsidRDefault="0033251B" w:rsidP="007B765E">
      <w:pPr>
        <w:pStyle w:val="Default"/>
        <w:tabs>
          <w:tab w:val="left" w:pos="720"/>
          <w:tab w:val="left" w:pos="1080"/>
        </w:tabs>
        <w:ind w:right="132"/>
        <w:contextualSpacing/>
        <w:jc w:val="both"/>
        <w:rPr>
          <w:color w:val="FF0000"/>
        </w:rPr>
      </w:pPr>
      <w:r>
        <w:rPr>
          <w:color w:val="FF0000"/>
        </w:rPr>
        <w:tab/>
      </w:r>
      <w:r>
        <w:rPr>
          <w:color w:val="FF0000"/>
        </w:rPr>
        <w:tab/>
      </w:r>
    </w:p>
    <w:p w:rsidR="00EB7E6C" w:rsidRDefault="00EB7E6C" w:rsidP="007B765E">
      <w:pPr>
        <w:pStyle w:val="Default"/>
        <w:tabs>
          <w:tab w:val="left" w:pos="720"/>
          <w:tab w:val="left" w:pos="1080"/>
        </w:tabs>
        <w:ind w:right="132"/>
        <w:contextualSpacing/>
        <w:jc w:val="both"/>
        <w:rPr>
          <w:color w:val="FF0000"/>
        </w:rPr>
      </w:pPr>
    </w:p>
    <w:p w:rsidR="00EB7E6C" w:rsidRPr="00126658" w:rsidRDefault="00EB7E6C" w:rsidP="007B765E">
      <w:pPr>
        <w:pStyle w:val="Default"/>
        <w:tabs>
          <w:tab w:val="left" w:pos="720"/>
          <w:tab w:val="left" w:pos="1080"/>
        </w:tabs>
        <w:ind w:right="132"/>
        <w:contextualSpacing/>
        <w:jc w:val="both"/>
      </w:pPr>
    </w:p>
    <w:p w:rsidR="00D461C3" w:rsidRPr="00126658" w:rsidRDefault="0033251B" w:rsidP="007B765E">
      <w:pPr>
        <w:pStyle w:val="Style3"/>
        <w:tabs>
          <w:tab w:val="left" w:pos="720"/>
        </w:tabs>
        <w:spacing w:line="240" w:lineRule="auto"/>
        <w:contextualSpacing/>
        <w:jc w:val="both"/>
      </w:pPr>
      <w:r>
        <w:lastRenderedPageBreak/>
        <w:t>3.</w:t>
      </w:r>
      <w:r w:rsidR="00A30969" w:rsidRPr="00126658">
        <w:t xml:space="preserve"> </w:t>
      </w:r>
      <w:r w:rsidR="00F16C47">
        <w:tab/>
      </w:r>
      <w:r w:rsidR="00A30969" w:rsidRPr="00126658">
        <w:t xml:space="preserve">Housing Choice Voucher </w:t>
      </w:r>
    </w:p>
    <w:p w:rsidR="0033251B" w:rsidRDefault="0033251B" w:rsidP="007B765E">
      <w:pPr>
        <w:pStyle w:val="CM12"/>
        <w:tabs>
          <w:tab w:val="left" w:pos="720"/>
          <w:tab w:val="left" w:pos="1080"/>
        </w:tabs>
        <w:spacing w:line="240" w:lineRule="auto"/>
        <w:contextualSpacing/>
        <w:jc w:val="both"/>
        <w:rPr>
          <w:color w:val="000000"/>
        </w:rPr>
      </w:pPr>
    </w:p>
    <w:p w:rsidR="0033251B" w:rsidRDefault="00A30969" w:rsidP="007B765E">
      <w:pPr>
        <w:pStyle w:val="CM12"/>
        <w:tabs>
          <w:tab w:val="left" w:pos="720"/>
          <w:tab w:val="left" w:pos="1080"/>
        </w:tabs>
        <w:spacing w:line="240" w:lineRule="auto"/>
        <w:ind w:left="1080"/>
        <w:contextualSpacing/>
        <w:jc w:val="both"/>
        <w:rPr>
          <w:color w:val="000000"/>
        </w:rPr>
      </w:pPr>
      <w:r w:rsidRPr="00126658">
        <w:rPr>
          <w:color w:val="000000"/>
        </w:rPr>
        <w:t>The Housing Choice Voucher cost pool consists</w:t>
      </w:r>
      <w:r w:rsidR="00507A82" w:rsidRPr="00126658">
        <w:t xml:space="preserve"> of all personnel salaries that are attributable directly to the HCV Department</w:t>
      </w:r>
      <w:r w:rsidR="001133CA" w:rsidRPr="00126658">
        <w:rPr>
          <w:color w:val="000000"/>
        </w:rPr>
        <w:t>.</w:t>
      </w:r>
    </w:p>
    <w:p w:rsidR="0084064A" w:rsidRPr="0084064A" w:rsidRDefault="0084064A" w:rsidP="007B765E">
      <w:pPr>
        <w:pStyle w:val="Default"/>
        <w:jc w:val="both"/>
      </w:pPr>
    </w:p>
    <w:p w:rsidR="006338BB" w:rsidRDefault="0033251B" w:rsidP="007B765E">
      <w:pPr>
        <w:pStyle w:val="CM11"/>
        <w:tabs>
          <w:tab w:val="left" w:pos="720"/>
          <w:tab w:val="left" w:pos="1080"/>
        </w:tabs>
        <w:spacing w:line="240" w:lineRule="auto"/>
        <w:ind w:hanging="360"/>
        <w:contextualSpacing/>
        <w:jc w:val="both"/>
        <w:rPr>
          <w:color w:val="000000"/>
        </w:rPr>
      </w:pPr>
      <w:r>
        <w:rPr>
          <w:color w:val="000000"/>
        </w:rPr>
        <w:tab/>
      </w:r>
      <w:r>
        <w:rPr>
          <w:color w:val="000000"/>
        </w:rPr>
        <w:tab/>
        <w:t>4.</w:t>
      </w:r>
      <w:r>
        <w:rPr>
          <w:color w:val="000000"/>
        </w:rPr>
        <w:tab/>
      </w:r>
      <w:r w:rsidR="00A30969" w:rsidRPr="00126658">
        <w:rPr>
          <w:color w:val="000000"/>
        </w:rPr>
        <w:t xml:space="preserve">Centralized Staff Performing Public Housing Duties </w:t>
      </w:r>
    </w:p>
    <w:p w:rsidR="006338BB" w:rsidRDefault="006338BB" w:rsidP="007B765E">
      <w:pPr>
        <w:pStyle w:val="CM11"/>
        <w:tabs>
          <w:tab w:val="left" w:pos="720"/>
          <w:tab w:val="left" w:pos="1080"/>
        </w:tabs>
        <w:spacing w:line="240" w:lineRule="auto"/>
        <w:ind w:hanging="360"/>
        <w:contextualSpacing/>
        <w:jc w:val="both"/>
        <w:rPr>
          <w:color w:val="000000"/>
        </w:rPr>
      </w:pPr>
    </w:p>
    <w:p w:rsidR="000C2AEC" w:rsidRPr="00126658" w:rsidRDefault="00A30969" w:rsidP="003F3717">
      <w:pPr>
        <w:pStyle w:val="CM11"/>
        <w:numPr>
          <w:ilvl w:val="0"/>
          <w:numId w:val="8"/>
        </w:numPr>
        <w:tabs>
          <w:tab w:val="left" w:pos="720"/>
          <w:tab w:val="left" w:pos="1080"/>
        </w:tabs>
        <w:spacing w:line="240" w:lineRule="auto"/>
        <w:contextualSpacing/>
        <w:jc w:val="both"/>
        <w:rPr>
          <w:color w:val="000000"/>
        </w:rPr>
      </w:pPr>
      <w:r w:rsidRPr="00126658">
        <w:rPr>
          <w:color w:val="000000"/>
        </w:rPr>
        <w:t>Pro</w:t>
      </w:r>
      <w:r w:rsidRPr="00126658">
        <w:rPr>
          <w:color w:val="000000"/>
        </w:rPr>
        <w:softHyphen/>
      </w:r>
      <w:r w:rsidR="0023217C">
        <w:rPr>
          <w:color w:val="000000"/>
        </w:rPr>
        <w:t xml:space="preserve"> </w:t>
      </w:r>
      <w:r w:rsidRPr="00126658">
        <w:rPr>
          <w:color w:val="000000"/>
        </w:rPr>
        <w:t xml:space="preserve">rata distribution </w:t>
      </w:r>
    </w:p>
    <w:p w:rsidR="006338BB" w:rsidRDefault="006338BB" w:rsidP="007B765E">
      <w:pPr>
        <w:pStyle w:val="CM13"/>
        <w:tabs>
          <w:tab w:val="left" w:pos="720"/>
          <w:tab w:val="left" w:pos="1080"/>
        </w:tabs>
        <w:spacing w:line="240" w:lineRule="auto"/>
        <w:contextualSpacing/>
        <w:jc w:val="both"/>
        <w:rPr>
          <w:color w:val="000000"/>
        </w:rPr>
      </w:pPr>
    </w:p>
    <w:p w:rsidR="00D461C3" w:rsidRPr="00126658" w:rsidRDefault="00A30969" w:rsidP="007B765E">
      <w:pPr>
        <w:pStyle w:val="CM13"/>
        <w:tabs>
          <w:tab w:val="left" w:pos="720"/>
          <w:tab w:val="left" w:pos="1080"/>
        </w:tabs>
        <w:spacing w:line="240" w:lineRule="auto"/>
        <w:ind w:left="1440"/>
        <w:contextualSpacing/>
        <w:jc w:val="both"/>
        <w:rPr>
          <w:color w:val="000000"/>
        </w:rPr>
      </w:pPr>
      <w:r w:rsidRPr="00126658">
        <w:rPr>
          <w:color w:val="000000"/>
        </w:rPr>
        <w:t xml:space="preserve">Some employees working at </w:t>
      </w:r>
      <w:r w:rsidR="0084064A">
        <w:rPr>
          <w:color w:val="000000"/>
        </w:rPr>
        <w:t>HATT</w:t>
      </w:r>
      <w:r w:rsidRPr="00126658">
        <w:rPr>
          <w:color w:val="000000"/>
        </w:rPr>
        <w:t xml:space="preserve"> performing front</w:t>
      </w:r>
      <w:r w:rsidRPr="00126658">
        <w:rPr>
          <w:color w:val="000000"/>
        </w:rPr>
        <w:softHyphen/>
        <w:t>line tasks will continue to work from a central location. Per guidance provided by HUD</w:t>
      </w:r>
      <w:r w:rsidR="0084064A">
        <w:rPr>
          <w:color w:val="000000"/>
        </w:rPr>
        <w:t>,</w:t>
      </w:r>
      <w:r w:rsidRPr="00126658">
        <w:rPr>
          <w:color w:val="000000"/>
        </w:rPr>
        <w:t xml:space="preserve"> these individuals are allowed to have their costs pro</w:t>
      </w:r>
      <w:r w:rsidRPr="00126658">
        <w:rPr>
          <w:color w:val="000000"/>
        </w:rPr>
        <w:softHyphen/>
        <w:t xml:space="preserve">rated to all public housing AMPs based on some equitable and measurable means. </w:t>
      </w:r>
    </w:p>
    <w:p w:rsidR="006338BB" w:rsidRDefault="006338BB" w:rsidP="007B765E">
      <w:pPr>
        <w:pStyle w:val="CM13"/>
        <w:tabs>
          <w:tab w:val="left" w:pos="720"/>
          <w:tab w:val="left" w:pos="1080"/>
        </w:tabs>
        <w:spacing w:line="240" w:lineRule="auto"/>
        <w:ind w:hanging="360"/>
        <w:contextualSpacing/>
        <w:jc w:val="both"/>
        <w:rPr>
          <w:color w:val="000000"/>
        </w:rPr>
      </w:pPr>
    </w:p>
    <w:p w:rsidR="00D461C3" w:rsidRPr="00126658" w:rsidRDefault="006338BB" w:rsidP="007B765E">
      <w:pPr>
        <w:pStyle w:val="CM13"/>
        <w:tabs>
          <w:tab w:val="left" w:pos="720"/>
          <w:tab w:val="left" w:pos="1080"/>
        </w:tabs>
        <w:spacing w:line="240" w:lineRule="auto"/>
        <w:ind w:hanging="360"/>
        <w:contextualSpacing/>
        <w:jc w:val="both"/>
        <w:rPr>
          <w:color w:val="000000"/>
        </w:rPr>
      </w:pPr>
      <w:r>
        <w:rPr>
          <w:color w:val="000000"/>
        </w:rPr>
        <w:tab/>
      </w:r>
      <w:r>
        <w:rPr>
          <w:color w:val="000000"/>
        </w:rPr>
        <w:tab/>
      </w:r>
      <w:r>
        <w:rPr>
          <w:color w:val="000000"/>
        </w:rPr>
        <w:tab/>
        <w:t>b.</w:t>
      </w:r>
      <w:r>
        <w:rPr>
          <w:color w:val="000000"/>
        </w:rPr>
        <w:tab/>
      </w:r>
      <w:r w:rsidR="00A30969" w:rsidRPr="00126658">
        <w:rPr>
          <w:color w:val="000000"/>
        </w:rPr>
        <w:t>Fee</w:t>
      </w:r>
      <w:r w:rsidR="00B24553" w:rsidRPr="00126658">
        <w:rPr>
          <w:color w:val="000000"/>
        </w:rPr>
        <w:t xml:space="preserve"> </w:t>
      </w:r>
      <w:r w:rsidR="00A30969" w:rsidRPr="00126658">
        <w:rPr>
          <w:color w:val="000000"/>
        </w:rPr>
        <w:softHyphen/>
        <w:t>for</w:t>
      </w:r>
      <w:r w:rsidR="00A30969" w:rsidRPr="00126658">
        <w:rPr>
          <w:color w:val="000000"/>
        </w:rPr>
        <w:softHyphen/>
      </w:r>
      <w:r w:rsidR="00B24553" w:rsidRPr="00126658">
        <w:rPr>
          <w:color w:val="000000"/>
        </w:rPr>
        <w:t xml:space="preserve"> </w:t>
      </w:r>
      <w:r w:rsidR="00A30969" w:rsidRPr="00126658">
        <w:rPr>
          <w:color w:val="000000"/>
        </w:rPr>
        <w:t xml:space="preserve">Service </w:t>
      </w:r>
    </w:p>
    <w:p w:rsidR="006338BB" w:rsidRDefault="006338BB" w:rsidP="007B765E">
      <w:pPr>
        <w:pStyle w:val="CM28"/>
        <w:tabs>
          <w:tab w:val="left" w:pos="720"/>
          <w:tab w:val="left" w:pos="1080"/>
        </w:tabs>
        <w:ind w:left="1440"/>
        <w:contextualSpacing/>
        <w:jc w:val="both"/>
        <w:rPr>
          <w:color w:val="000000"/>
        </w:rPr>
      </w:pPr>
    </w:p>
    <w:p w:rsidR="006338BB" w:rsidRDefault="00A30969" w:rsidP="007B765E">
      <w:pPr>
        <w:pStyle w:val="CM28"/>
        <w:tabs>
          <w:tab w:val="left" w:pos="720"/>
          <w:tab w:val="left" w:pos="1080"/>
        </w:tabs>
        <w:ind w:left="1440"/>
        <w:contextualSpacing/>
        <w:jc w:val="both"/>
        <w:rPr>
          <w:color w:val="000000"/>
        </w:rPr>
      </w:pPr>
      <w:r w:rsidRPr="00126658">
        <w:rPr>
          <w:color w:val="000000"/>
        </w:rPr>
        <w:t>Other employees that are located centrally but perform front</w:t>
      </w:r>
      <w:r w:rsidRPr="00126658">
        <w:rPr>
          <w:color w:val="000000"/>
        </w:rPr>
        <w:softHyphen/>
        <w:t>line tasks will be charged hourly based on the work performed at each AMP. The amount of the fee is determined by the price the local market will bear for the service being performed.</w:t>
      </w:r>
    </w:p>
    <w:p w:rsidR="00D461C3" w:rsidRPr="00126658" w:rsidRDefault="00A30969" w:rsidP="007B765E">
      <w:pPr>
        <w:pStyle w:val="CM28"/>
        <w:tabs>
          <w:tab w:val="left" w:pos="720"/>
          <w:tab w:val="left" w:pos="1080"/>
        </w:tabs>
        <w:ind w:left="1440"/>
        <w:contextualSpacing/>
        <w:jc w:val="both"/>
        <w:rPr>
          <w:color w:val="000000"/>
        </w:rPr>
      </w:pPr>
      <w:r w:rsidRPr="00126658">
        <w:rPr>
          <w:color w:val="000000"/>
        </w:rPr>
        <w:t xml:space="preserve"> </w:t>
      </w:r>
    </w:p>
    <w:p w:rsidR="0084064A" w:rsidRPr="0084064A" w:rsidRDefault="00574C56" w:rsidP="00496E27">
      <w:pPr>
        <w:pStyle w:val="Header2"/>
      </w:pPr>
      <w:bookmarkStart w:id="7" w:name="_Toc266699064"/>
      <w:r w:rsidRPr="0084064A">
        <w:t>F</w:t>
      </w:r>
      <w:r w:rsidR="00A30969" w:rsidRPr="0084064A">
        <w:t xml:space="preserve">. </w:t>
      </w:r>
      <w:r w:rsidR="00B00EFF" w:rsidRPr="0084064A">
        <w:tab/>
      </w:r>
      <w:r w:rsidR="0084064A" w:rsidRPr="0084064A">
        <w:t>Internal Controls</w:t>
      </w:r>
      <w:bookmarkEnd w:id="7"/>
    </w:p>
    <w:p w:rsidR="0084064A" w:rsidRDefault="0084064A" w:rsidP="007B765E">
      <w:pPr>
        <w:pStyle w:val="CM28"/>
        <w:tabs>
          <w:tab w:val="left" w:pos="360"/>
          <w:tab w:val="left" w:pos="720"/>
          <w:tab w:val="left" w:pos="1080"/>
        </w:tabs>
        <w:ind w:left="720" w:right="187" w:hanging="1080"/>
        <w:contextualSpacing/>
        <w:jc w:val="both"/>
        <w:rPr>
          <w:color w:val="000000"/>
        </w:rPr>
      </w:pPr>
    </w:p>
    <w:p w:rsidR="00B00EFF" w:rsidRDefault="0084064A" w:rsidP="007B765E">
      <w:pPr>
        <w:pStyle w:val="CM28"/>
        <w:tabs>
          <w:tab w:val="left" w:pos="360"/>
          <w:tab w:val="left" w:pos="720"/>
          <w:tab w:val="left" w:pos="1080"/>
        </w:tabs>
        <w:ind w:left="720" w:right="187" w:hanging="1080"/>
        <w:contextualSpacing/>
        <w:jc w:val="both"/>
        <w:rPr>
          <w:color w:val="000000"/>
        </w:rPr>
      </w:pPr>
      <w:r>
        <w:rPr>
          <w:color w:val="000000"/>
        </w:rPr>
        <w:tab/>
      </w:r>
      <w:r>
        <w:rPr>
          <w:color w:val="000000"/>
        </w:rPr>
        <w:tab/>
      </w:r>
      <w:r w:rsidR="00A30969" w:rsidRPr="00126658">
        <w:rPr>
          <w:color w:val="000000"/>
        </w:rPr>
        <w:t>The Housing Authority of Texarkana, Texas maintains adequate internal controls to ensure that no cost is charged both directly and ind</w:t>
      </w:r>
      <w:r>
        <w:rPr>
          <w:color w:val="000000"/>
        </w:rPr>
        <w:t xml:space="preserve">irectly to grants and projects and </w:t>
      </w:r>
      <w:r w:rsidR="00A30969" w:rsidRPr="00126658">
        <w:rPr>
          <w:color w:val="000000"/>
        </w:rPr>
        <w:t xml:space="preserve">accumulates all indirect costs and revenues in separate income and expense accounts. </w:t>
      </w:r>
    </w:p>
    <w:p w:rsidR="00B00EFF" w:rsidRDefault="00B00EFF" w:rsidP="007B765E">
      <w:pPr>
        <w:pStyle w:val="CM28"/>
        <w:tabs>
          <w:tab w:val="left" w:pos="360"/>
          <w:tab w:val="left" w:pos="720"/>
          <w:tab w:val="left" w:pos="1080"/>
        </w:tabs>
        <w:ind w:left="720" w:right="187" w:hanging="1080"/>
        <w:contextualSpacing/>
        <w:jc w:val="both"/>
        <w:rPr>
          <w:color w:val="000000"/>
        </w:rPr>
      </w:pPr>
    </w:p>
    <w:p w:rsidR="00B00EFF" w:rsidRDefault="0084064A" w:rsidP="00496E27">
      <w:pPr>
        <w:pStyle w:val="Header2"/>
      </w:pPr>
      <w:bookmarkStart w:id="8" w:name="_Toc266699065"/>
      <w:r w:rsidRPr="0084064A">
        <w:t>G</w:t>
      </w:r>
      <w:r w:rsidR="00B00EFF" w:rsidRPr="0084064A">
        <w:t>.</w:t>
      </w:r>
      <w:r w:rsidR="00B00EFF" w:rsidRPr="0084064A">
        <w:tab/>
      </w:r>
      <w:r w:rsidR="00A30969" w:rsidRPr="0084064A">
        <w:t>Capital</w:t>
      </w:r>
      <w:r w:rsidR="00A30969" w:rsidRPr="00B00EFF">
        <w:t xml:space="preserve"> Funds</w:t>
      </w:r>
      <w:bookmarkEnd w:id="8"/>
    </w:p>
    <w:p w:rsidR="00B00EFF" w:rsidRDefault="00B00EFF" w:rsidP="007B765E">
      <w:pPr>
        <w:pStyle w:val="CM28"/>
        <w:tabs>
          <w:tab w:val="left" w:pos="360"/>
          <w:tab w:val="left" w:pos="720"/>
          <w:tab w:val="left" w:pos="1080"/>
        </w:tabs>
        <w:ind w:left="720" w:right="187" w:hanging="1080"/>
        <w:contextualSpacing/>
        <w:jc w:val="both"/>
      </w:pPr>
    </w:p>
    <w:p w:rsidR="00CD48F5" w:rsidRDefault="00B00EFF" w:rsidP="007B765E">
      <w:pPr>
        <w:pStyle w:val="CM28"/>
        <w:tabs>
          <w:tab w:val="left" w:pos="360"/>
          <w:tab w:val="left" w:pos="720"/>
          <w:tab w:val="left" w:pos="1080"/>
        </w:tabs>
        <w:ind w:left="720" w:right="187" w:hanging="1080"/>
        <w:contextualSpacing/>
        <w:jc w:val="both"/>
      </w:pPr>
      <w:r>
        <w:tab/>
      </w:r>
      <w:r>
        <w:tab/>
      </w:r>
      <w:r w:rsidR="00A30969" w:rsidRPr="00126658">
        <w:t xml:space="preserve">HATT only directly charges low rent capital improvements costs to the </w:t>
      </w:r>
      <w:r w:rsidR="007B765E">
        <w:t>C</w:t>
      </w:r>
      <w:r w:rsidR="00A30969" w:rsidRPr="00126658">
        <w:t xml:space="preserve">apital </w:t>
      </w:r>
      <w:r w:rsidR="007B765E">
        <w:t>F</w:t>
      </w:r>
      <w:r w:rsidR="00A30969" w:rsidRPr="00126658">
        <w:t xml:space="preserve">und. No costs of operation or administration are indirectly allocated to the </w:t>
      </w:r>
      <w:r w:rsidR="007B765E">
        <w:t>C</w:t>
      </w:r>
      <w:r w:rsidR="00A30969" w:rsidRPr="00126658">
        <w:t xml:space="preserve">apital </w:t>
      </w:r>
      <w:r w:rsidR="007B765E">
        <w:t>F</w:t>
      </w:r>
      <w:r w:rsidR="00A30969" w:rsidRPr="00126658">
        <w:t xml:space="preserve">und. The COCC receives an administrative management fee of 10% of the total </w:t>
      </w:r>
      <w:r w:rsidR="007B765E">
        <w:t>C</w:t>
      </w:r>
      <w:r w:rsidR="00A30969" w:rsidRPr="00126658">
        <w:t xml:space="preserve">apital </w:t>
      </w:r>
      <w:r w:rsidR="007B765E">
        <w:t>F</w:t>
      </w:r>
      <w:r w:rsidR="00A30969" w:rsidRPr="00126658">
        <w:t>und grant amount in Budget Line Item</w:t>
      </w:r>
      <w:r w:rsidR="007B765E">
        <w:t xml:space="preserve"> (BLI)</w:t>
      </w:r>
      <w:r w:rsidR="00A30969" w:rsidRPr="00126658">
        <w:t xml:space="preserve"> 1410. Capital Fund </w:t>
      </w:r>
      <w:r w:rsidR="007B765E">
        <w:t>m</w:t>
      </w:r>
      <w:r w:rsidR="00A30969" w:rsidRPr="00126658">
        <w:t xml:space="preserve">anagement improvements (BLI 1408) and </w:t>
      </w:r>
      <w:r w:rsidR="007B765E">
        <w:t>o</w:t>
      </w:r>
      <w:r w:rsidR="00A30969" w:rsidRPr="00126658">
        <w:t>peration</w:t>
      </w:r>
      <w:r w:rsidR="007B765E">
        <w:t>s</w:t>
      </w:r>
      <w:r w:rsidR="00A30969" w:rsidRPr="00126658">
        <w:t xml:space="preserve"> (BLI 1406) dollars are not used to </w:t>
      </w:r>
      <w:r w:rsidR="007B765E">
        <w:t>f</w:t>
      </w:r>
      <w:r w:rsidR="00A30969" w:rsidRPr="00126658">
        <w:t>und the COCC. All 1408 and 1406 dollars are used by the AMPs.</w:t>
      </w:r>
    </w:p>
    <w:p w:rsidR="00CD48F5" w:rsidRDefault="00CD48F5" w:rsidP="007B765E">
      <w:pPr>
        <w:pStyle w:val="CM28"/>
        <w:tabs>
          <w:tab w:val="left" w:pos="360"/>
          <w:tab w:val="left" w:pos="720"/>
          <w:tab w:val="left" w:pos="1080"/>
        </w:tabs>
        <w:ind w:right="187"/>
        <w:contextualSpacing/>
        <w:jc w:val="both"/>
      </w:pPr>
    </w:p>
    <w:p w:rsidR="0023217C" w:rsidRPr="0023217C" w:rsidRDefault="0023217C" w:rsidP="007B765E">
      <w:pPr>
        <w:pStyle w:val="Default"/>
        <w:jc w:val="both"/>
      </w:pPr>
    </w:p>
    <w:p w:rsidR="00D461C3" w:rsidRPr="00CD48F5" w:rsidRDefault="00A30969" w:rsidP="00496E27">
      <w:pPr>
        <w:pStyle w:val="Header1"/>
      </w:pPr>
      <w:bookmarkStart w:id="9" w:name="_Toc266699066"/>
      <w:r w:rsidRPr="00496E27">
        <w:t>Listing of Programs Serviced by the Housing Authority</w:t>
      </w:r>
      <w:bookmarkEnd w:id="9"/>
      <w:r w:rsidRPr="00CD48F5">
        <w:t xml:space="preserve"> </w:t>
      </w:r>
    </w:p>
    <w:p w:rsidR="00B00EFF" w:rsidRDefault="00B00EFF" w:rsidP="007B765E">
      <w:pPr>
        <w:pStyle w:val="CM28"/>
        <w:ind w:left="720"/>
        <w:contextualSpacing/>
        <w:jc w:val="both"/>
        <w:rPr>
          <w:color w:val="000000"/>
        </w:rPr>
      </w:pPr>
    </w:p>
    <w:p w:rsidR="00B00EFF" w:rsidRPr="00B00EFF" w:rsidRDefault="00A30969" w:rsidP="003F3717">
      <w:pPr>
        <w:pStyle w:val="Header2"/>
        <w:numPr>
          <w:ilvl w:val="0"/>
          <w:numId w:val="15"/>
        </w:numPr>
      </w:pPr>
      <w:bookmarkStart w:id="10" w:name="_Toc266699067"/>
      <w:r w:rsidRPr="00B00EFF">
        <w:t>Section 8 Program</w:t>
      </w:r>
      <w:bookmarkEnd w:id="10"/>
    </w:p>
    <w:p w:rsidR="00B00EFF" w:rsidRDefault="00B00EFF" w:rsidP="007B765E">
      <w:pPr>
        <w:pStyle w:val="CM28"/>
        <w:ind w:left="720"/>
        <w:contextualSpacing/>
        <w:jc w:val="both"/>
        <w:rPr>
          <w:color w:val="000000"/>
        </w:rPr>
      </w:pPr>
    </w:p>
    <w:p w:rsidR="00D461C3" w:rsidRPr="00126658" w:rsidRDefault="00A30969" w:rsidP="007B765E">
      <w:pPr>
        <w:pStyle w:val="CM28"/>
        <w:ind w:left="720"/>
        <w:contextualSpacing/>
        <w:jc w:val="both"/>
        <w:rPr>
          <w:color w:val="000000"/>
        </w:rPr>
      </w:pPr>
      <w:r w:rsidRPr="00126658">
        <w:rPr>
          <w:color w:val="000000"/>
        </w:rPr>
        <w:t>The Section 8 program provides for housing assistance payments to private owners of residential units on behalf of eligible low</w:t>
      </w:r>
      <w:r w:rsidR="00EB7E6C">
        <w:rPr>
          <w:color w:val="000000"/>
        </w:rPr>
        <w:t xml:space="preserve">/ </w:t>
      </w:r>
      <w:r w:rsidRPr="00126658">
        <w:rPr>
          <w:color w:val="000000"/>
        </w:rPr>
        <w:t xml:space="preserve">very low income families. The program provides for such payments with respect to existing and moderately rehabilitated housing covering the difference between maximum rental on a dwelling unit and the amount of rent contribution by a participating family and related administrative expense. The authority is also eligible to receive reimbursement of preliminary expenses prior to lease up. </w:t>
      </w:r>
    </w:p>
    <w:p w:rsidR="00B00EFF" w:rsidRDefault="00B00EFF" w:rsidP="007B765E">
      <w:pPr>
        <w:pStyle w:val="CM34"/>
        <w:ind w:right="467"/>
        <w:contextualSpacing/>
        <w:jc w:val="both"/>
        <w:rPr>
          <w:b/>
          <w:color w:val="000000"/>
        </w:rPr>
      </w:pPr>
    </w:p>
    <w:p w:rsidR="00B00EFF" w:rsidRPr="00B00EFF" w:rsidRDefault="00A30969" w:rsidP="003F3717">
      <w:pPr>
        <w:pStyle w:val="Header2"/>
        <w:numPr>
          <w:ilvl w:val="0"/>
          <w:numId w:val="15"/>
        </w:numPr>
      </w:pPr>
      <w:bookmarkStart w:id="11" w:name="_Toc266699068"/>
      <w:r w:rsidRPr="00126658">
        <w:t>Low Rent Public Housing</w:t>
      </w:r>
      <w:bookmarkEnd w:id="11"/>
    </w:p>
    <w:p w:rsidR="00B00EFF" w:rsidRDefault="00B00EFF" w:rsidP="007B765E">
      <w:pPr>
        <w:pStyle w:val="CM34"/>
        <w:ind w:left="720" w:right="467"/>
        <w:contextualSpacing/>
        <w:jc w:val="both"/>
        <w:rPr>
          <w:color w:val="000000"/>
        </w:rPr>
      </w:pPr>
    </w:p>
    <w:p w:rsidR="00D461C3" w:rsidRPr="00126658" w:rsidRDefault="00A30969" w:rsidP="007B765E">
      <w:pPr>
        <w:pStyle w:val="CM34"/>
        <w:ind w:left="720" w:right="467"/>
        <w:contextualSpacing/>
        <w:jc w:val="both"/>
        <w:rPr>
          <w:color w:val="000000"/>
        </w:rPr>
      </w:pPr>
      <w:r w:rsidRPr="00126658">
        <w:rPr>
          <w:color w:val="000000"/>
        </w:rPr>
        <w:t>This type of housing consists of apartments and single</w:t>
      </w:r>
      <w:r w:rsidRPr="00126658">
        <w:rPr>
          <w:color w:val="000000"/>
        </w:rPr>
        <w:softHyphen/>
      </w:r>
      <w:r w:rsidR="008A4FE4" w:rsidRPr="00126658">
        <w:rPr>
          <w:color w:val="000000"/>
        </w:rPr>
        <w:t xml:space="preserve"> </w:t>
      </w:r>
      <w:r w:rsidRPr="00126658">
        <w:rPr>
          <w:color w:val="000000"/>
        </w:rPr>
        <w:t xml:space="preserve">family dwellings owned and operated by the authority. </w:t>
      </w:r>
    </w:p>
    <w:p w:rsidR="00B00EFF" w:rsidRDefault="00B00EFF" w:rsidP="007B765E">
      <w:pPr>
        <w:pStyle w:val="CM28"/>
        <w:contextualSpacing/>
        <w:jc w:val="both"/>
        <w:rPr>
          <w:b/>
          <w:color w:val="000000"/>
        </w:rPr>
      </w:pPr>
    </w:p>
    <w:p w:rsidR="00B00EFF" w:rsidRPr="00B00EFF" w:rsidRDefault="00A30969" w:rsidP="003F3717">
      <w:pPr>
        <w:pStyle w:val="Header2"/>
        <w:numPr>
          <w:ilvl w:val="0"/>
          <w:numId w:val="15"/>
        </w:numPr>
      </w:pPr>
      <w:bookmarkStart w:id="12" w:name="_Toc266699069"/>
      <w:r w:rsidRPr="00126658">
        <w:t>Public Housing Capital Fund Program</w:t>
      </w:r>
      <w:bookmarkEnd w:id="12"/>
    </w:p>
    <w:p w:rsidR="00B00EFF" w:rsidRDefault="00B00EFF" w:rsidP="007B765E">
      <w:pPr>
        <w:pStyle w:val="CM28"/>
        <w:ind w:left="720"/>
        <w:contextualSpacing/>
        <w:jc w:val="both"/>
        <w:rPr>
          <w:b/>
          <w:color w:val="000000"/>
        </w:rPr>
      </w:pPr>
    </w:p>
    <w:p w:rsidR="00D461C3" w:rsidRPr="00126658" w:rsidRDefault="00A30969" w:rsidP="007B765E">
      <w:pPr>
        <w:pStyle w:val="CM28"/>
        <w:ind w:left="720"/>
        <w:contextualSpacing/>
        <w:jc w:val="both"/>
        <w:rPr>
          <w:color w:val="000000"/>
        </w:rPr>
      </w:pPr>
      <w:r w:rsidRPr="00126658">
        <w:rPr>
          <w:color w:val="000000"/>
        </w:rPr>
        <w:t xml:space="preserve">Substantially all additions to land, buildings and equipment are accomplished through modernization programs, comprehensive grant programs or development programs. Modernization programs replace or materially upgrade deteriorated portions of the authority’s housing units. Funding is provided through programs established by the Department of Housing and Urban Development. Development programs are used to acquire additional housing units for the public housing programs, and funding is provided through grants from the Department of Housing and Urban Development. HUD provides annual contributions for the payment of principal and interest on project notes and bonds. </w:t>
      </w:r>
    </w:p>
    <w:p w:rsidR="00B00EFF" w:rsidRDefault="00B00EFF" w:rsidP="007B765E">
      <w:pPr>
        <w:pStyle w:val="Default"/>
        <w:contextualSpacing/>
        <w:jc w:val="both"/>
        <w:rPr>
          <w:b/>
        </w:rPr>
      </w:pPr>
    </w:p>
    <w:p w:rsidR="00B00EFF" w:rsidRPr="00B00EFF" w:rsidRDefault="000C2AEC" w:rsidP="003F3717">
      <w:pPr>
        <w:pStyle w:val="Header2"/>
        <w:numPr>
          <w:ilvl w:val="0"/>
          <w:numId w:val="15"/>
        </w:numPr>
      </w:pPr>
      <w:bookmarkStart w:id="13" w:name="_Toc266699070"/>
      <w:r w:rsidRPr="00126658">
        <w:t>HOPE VI</w:t>
      </w:r>
      <w:r w:rsidR="00316664" w:rsidRPr="00126658">
        <w:t xml:space="preserve"> Revitalization Grant</w:t>
      </w:r>
      <w:bookmarkEnd w:id="13"/>
    </w:p>
    <w:p w:rsidR="00B00EFF" w:rsidRDefault="00B00EFF" w:rsidP="007B765E">
      <w:pPr>
        <w:pStyle w:val="Default"/>
        <w:ind w:left="720"/>
        <w:contextualSpacing/>
        <w:jc w:val="both"/>
        <w:rPr>
          <w:b/>
        </w:rPr>
      </w:pPr>
    </w:p>
    <w:p w:rsidR="000C2AEC" w:rsidRPr="00126658" w:rsidRDefault="000C2AEC" w:rsidP="007B765E">
      <w:pPr>
        <w:pStyle w:val="Default"/>
        <w:ind w:left="720"/>
        <w:contextualSpacing/>
        <w:jc w:val="both"/>
      </w:pPr>
      <w:r w:rsidRPr="00126658">
        <w:t xml:space="preserve">HATT received a HOPE VI Grant in September of 2008 to run through June of 2013.  The purpose of the grant is to provide financing leverage to demolish and rebuild severely distressed public housing and to provide social and community services to address resident needs.  </w:t>
      </w:r>
    </w:p>
    <w:p w:rsidR="000C2AEC" w:rsidRPr="00126658" w:rsidRDefault="000C2AEC" w:rsidP="007B765E">
      <w:pPr>
        <w:pStyle w:val="Default"/>
        <w:contextualSpacing/>
        <w:jc w:val="both"/>
      </w:pPr>
    </w:p>
    <w:p w:rsidR="00B00EFF" w:rsidRDefault="00A30969" w:rsidP="003F3717">
      <w:pPr>
        <w:pStyle w:val="Header2"/>
        <w:numPr>
          <w:ilvl w:val="0"/>
          <w:numId w:val="15"/>
        </w:numPr>
      </w:pPr>
      <w:bookmarkStart w:id="14" w:name="_Toc266699071"/>
      <w:r w:rsidRPr="00126658">
        <w:t>Woodbridge</w:t>
      </w:r>
      <w:bookmarkEnd w:id="14"/>
    </w:p>
    <w:p w:rsidR="00B00EFF" w:rsidRDefault="00B00EFF" w:rsidP="007B765E">
      <w:pPr>
        <w:pStyle w:val="CM5"/>
        <w:spacing w:line="240" w:lineRule="auto"/>
        <w:ind w:left="720"/>
        <w:contextualSpacing/>
        <w:jc w:val="both"/>
        <w:rPr>
          <w:b/>
          <w:color w:val="000000"/>
        </w:rPr>
      </w:pPr>
    </w:p>
    <w:p w:rsidR="0023217C" w:rsidRDefault="00A30969" w:rsidP="007B765E">
      <w:pPr>
        <w:pStyle w:val="CM5"/>
        <w:spacing w:line="240" w:lineRule="auto"/>
        <w:ind w:left="720"/>
        <w:contextualSpacing/>
        <w:jc w:val="both"/>
        <w:rPr>
          <w:color w:val="000000"/>
        </w:rPr>
      </w:pPr>
      <w:r w:rsidRPr="00126658">
        <w:rPr>
          <w:color w:val="000000"/>
        </w:rPr>
        <w:t xml:space="preserve">HATT provides management services to a privately owned </w:t>
      </w:r>
      <w:r w:rsidR="000C2AEC" w:rsidRPr="00126658">
        <w:rPr>
          <w:color w:val="000000"/>
        </w:rPr>
        <w:t xml:space="preserve">apartment complex known as </w:t>
      </w:r>
      <w:r w:rsidRPr="00126658">
        <w:rPr>
          <w:color w:val="000000"/>
        </w:rPr>
        <w:t>Woodbridge</w:t>
      </w:r>
      <w:r w:rsidR="0023217C">
        <w:rPr>
          <w:color w:val="000000"/>
        </w:rPr>
        <w:t>.</w:t>
      </w:r>
    </w:p>
    <w:p w:rsidR="003D323D" w:rsidRDefault="003D323D" w:rsidP="003D323D">
      <w:pPr>
        <w:pStyle w:val="Default"/>
      </w:pPr>
    </w:p>
    <w:p w:rsidR="003D323D" w:rsidRPr="003D323D" w:rsidRDefault="003D323D" w:rsidP="003D323D">
      <w:pPr>
        <w:pStyle w:val="Default"/>
        <w:numPr>
          <w:ilvl w:val="0"/>
          <w:numId w:val="15"/>
        </w:numPr>
        <w:tabs>
          <w:tab w:val="left" w:pos="360"/>
        </w:tabs>
        <w:rPr>
          <w:b/>
        </w:rPr>
      </w:pPr>
      <w:r w:rsidRPr="003D323D">
        <w:rPr>
          <w:b/>
        </w:rPr>
        <w:t>Low Income Housing Tax Credit Properties</w:t>
      </w:r>
    </w:p>
    <w:p w:rsidR="003D323D" w:rsidRDefault="003D323D" w:rsidP="003D323D">
      <w:pPr>
        <w:pStyle w:val="Default"/>
        <w:tabs>
          <w:tab w:val="left" w:pos="360"/>
        </w:tabs>
      </w:pPr>
    </w:p>
    <w:p w:rsidR="003D323D" w:rsidRPr="003D323D" w:rsidRDefault="003D323D" w:rsidP="003D323D">
      <w:pPr>
        <w:pStyle w:val="Default"/>
        <w:tabs>
          <w:tab w:val="left" w:pos="360"/>
        </w:tabs>
      </w:pPr>
      <w:r>
        <w:tab/>
      </w:r>
      <w:r>
        <w:tab/>
        <w:t xml:space="preserve">HATT’s COCC provides administrative support services and contracted services to </w:t>
      </w:r>
      <w:r>
        <w:tab/>
      </w:r>
      <w:r>
        <w:tab/>
      </w:r>
      <w:r>
        <w:tab/>
        <w:t>various properties developed under the Low Income Housing Tax Credit Program.</w:t>
      </w:r>
    </w:p>
    <w:p w:rsidR="0023217C" w:rsidRDefault="0023217C" w:rsidP="007B765E">
      <w:pPr>
        <w:pStyle w:val="CM5"/>
        <w:spacing w:line="240" w:lineRule="auto"/>
        <w:contextualSpacing/>
        <w:jc w:val="both"/>
        <w:rPr>
          <w:color w:val="000000"/>
        </w:rPr>
      </w:pPr>
    </w:p>
    <w:p w:rsidR="00F106E2" w:rsidRPr="00F106E2" w:rsidRDefault="00F106E2" w:rsidP="007B765E">
      <w:pPr>
        <w:pStyle w:val="Default"/>
        <w:jc w:val="both"/>
      </w:pPr>
    </w:p>
    <w:p w:rsidR="0023217C" w:rsidRPr="00F106E2" w:rsidRDefault="0023217C" w:rsidP="00496E27">
      <w:pPr>
        <w:pStyle w:val="Header1"/>
      </w:pPr>
      <w:bookmarkStart w:id="15" w:name="_Toc266699072"/>
      <w:r w:rsidRPr="00F106E2">
        <w:t>INCOME/EXPENSE DETAIL DESCRIPTION AND OVERVIEW</w:t>
      </w:r>
      <w:bookmarkEnd w:id="15"/>
    </w:p>
    <w:p w:rsidR="0023217C" w:rsidRDefault="0023217C" w:rsidP="007B765E">
      <w:pPr>
        <w:pStyle w:val="Default"/>
        <w:jc w:val="both"/>
      </w:pPr>
    </w:p>
    <w:p w:rsidR="0023217C" w:rsidRPr="00126658" w:rsidRDefault="0023217C" w:rsidP="007B765E">
      <w:pPr>
        <w:pStyle w:val="CM28"/>
        <w:ind w:left="360"/>
        <w:contextualSpacing/>
        <w:jc w:val="both"/>
        <w:rPr>
          <w:color w:val="000000"/>
        </w:rPr>
      </w:pPr>
      <w:r w:rsidRPr="00126658">
        <w:rPr>
          <w:color w:val="000000"/>
        </w:rPr>
        <w:t xml:space="preserve">The tables below illustrate the cost pools, types of expenses, income and the manner in which costs will be handled. There are some costs that can be associated with an individual but not necessarily a program (e.g. travel and training costs). These costs will “follow the salary” of the individual whom the costs are associated with. </w:t>
      </w:r>
    </w:p>
    <w:p w:rsidR="0023217C" w:rsidRDefault="0023217C" w:rsidP="007B765E">
      <w:pPr>
        <w:pStyle w:val="CM8"/>
        <w:contextualSpacing/>
        <w:jc w:val="both"/>
        <w:rPr>
          <w:color w:val="000000"/>
        </w:rPr>
      </w:pPr>
    </w:p>
    <w:p w:rsidR="0023217C" w:rsidRDefault="0023217C" w:rsidP="003F3717">
      <w:pPr>
        <w:pStyle w:val="Header2"/>
        <w:numPr>
          <w:ilvl w:val="0"/>
          <w:numId w:val="17"/>
        </w:numPr>
      </w:pPr>
      <w:bookmarkStart w:id="16" w:name="_Toc266699073"/>
      <w:r w:rsidRPr="00126658">
        <w:t>Central Office Cost Center (COCC) – Expenses</w:t>
      </w:r>
      <w:bookmarkEnd w:id="16"/>
    </w:p>
    <w:p w:rsidR="0023217C" w:rsidRPr="00126658" w:rsidRDefault="0023217C" w:rsidP="007B765E">
      <w:pPr>
        <w:pStyle w:val="Style2"/>
        <w:spacing w:after="0" w:line="240" w:lineRule="auto"/>
        <w:ind w:firstLine="0"/>
        <w:contextualSpacing/>
        <w:jc w:val="both"/>
      </w:pPr>
      <w:r w:rsidRPr="00126658">
        <w:t xml:space="preserve"> </w:t>
      </w:r>
    </w:p>
    <w:p w:rsidR="00F106E2" w:rsidRDefault="0023217C" w:rsidP="003F3717">
      <w:pPr>
        <w:pStyle w:val="CM11"/>
        <w:numPr>
          <w:ilvl w:val="0"/>
          <w:numId w:val="4"/>
        </w:numPr>
        <w:spacing w:line="240" w:lineRule="auto"/>
        <w:ind w:left="1080"/>
        <w:contextualSpacing/>
        <w:jc w:val="both"/>
        <w:rPr>
          <w:color w:val="000000"/>
        </w:rPr>
      </w:pPr>
      <w:r w:rsidRPr="00FE6AE7">
        <w:rPr>
          <w:color w:val="000000"/>
        </w:rPr>
        <w:t>Certain costs are generated as a result of serving the strategic needs of the housing authority. Costs that are deemed to be ‘agency</w:t>
      </w:r>
      <w:r w:rsidRPr="00FE6AE7">
        <w:rPr>
          <w:color w:val="000000"/>
        </w:rPr>
        <w:softHyphen/>
      </w:r>
      <w:r>
        <w:rPr>
          <w:color w:val="000000"/>
        </w:rPr>
        <w:t>-</w:t>
      </w:r>
      <w:r w:rsidRPr="00FE6AE7">
        <w:rPr>
          <w:color w:val="000000"/>
        </w:rPr>
        <w:t xml:space="preserve">wide’ costs are pooled in the </w:t>
      </w:r>
      <w:r w:rsidR="007B765E">
        <w:rPr>
          <w:color w:val="000000"/>
        </w:rPr>
        <w:t>C</w:t>
      </w:r>
      <w:r w:rsidRPr="00FE6AE7">
        <w:rPr>
          <w:color w:val="000000"/>
        </w:rPr>
        <w:t xml:space="preserve">entral </w:t>
      </w:r>
      <w:r w:rsidR="007B765E">
        <w:rPr>
          <w:color w:val="000000"/>
        </w:rPr>
        <w:t>O</w:t>
      </w:r>
      <w:r w:rsidRPr="00FE6AE7">
        <w:rPr>
          <w:color w:val="000000"/>
        </w:rPr>
        <w:t xml:space="preserve">ffice </w:t>
      </w:r>
      <w:r w:rsidR="007B765E">
        <w:rPr>
          <w:color w:val="000000"/>
        </w:rPr>
        <w:t>C</w:t>
      </w:r>
      <w:r w:rsidRPr="00FE6AE7">
        <w:rPr>
          <w:color w:val="000000"/>
        </w:rPr>
        <w:t xml:space="preserve">ost </w:t>
      </w:r>
      <w:r w:rsidR="007B765E">
        <w:rPr>
          <w:color w:val="000000"/>
        </w:rPr>
        <w:t>C</w:t>
      </w:r>
      <w:r w:rsidRPr="00FE6AE7">
        <w:rPr>
          <w:color w:val="000000"/>
        </w:rPr>
        <w:t xml:space="preserve">enter. They are not attributable to a discrete program and therefore are </w:t>
      </w:r>
      <w:r w:rsidRPr="00FE6AE7">
        <w:rPr>
          <w:color w:val="000000"/>
        </w:rPr>
        <w:lastRenderedPageBreak/>
        <w:t>funded by multiple programs using a fee</w:t>
      </w:r>
      <w:r w:rsidRPr="00FE6AE7">
        <w:rPr>
          <w:color w:val="000000"/>
        </w:rPr>
        <w:softHyphen/>
        <w:t xml:space="preserve"> for</w:t>
      </w:r>
      <w:r w:rsidRPr="00FE6AE7">
        <w:rPr>
          <w:color w:val="000000"/>
        </w:rPr>
        <w:softHyphen/>
        <w:t xml:space="preserve"> service approach</w:t>
      </w:r>
      <w:r w:rsidR="00F106E2">
        <w:rPr>
          <w:color w:val="000000"/>
        </w:rPr>
        <w:t>.</w:t>
      </w:r>
    </w:p>
    <w:p w:rsidR="00F106E2" w:rsidRPr="00F106E2" w:rsidRDefault="00F106E2" w:rsidP="007B765E">
      <w:pPr>
        <w:pStyle w:val="Default"/>
        <w:jc w:val="both"/>
      </w:pPr>
    </w:p>
    <w:p w:rsidR="0023217C" w:rsidRDefault="0023217C" w:rsidP="003F3717">
      <w:pPr>
        <w:pStyle w:val="CM11"/>
        <w:numPr>
          <w:ilvl w:val="0"/>
          <w:numId w:val="4"/>
        </w:numPr>
        <w:spacing w:line="240" w:lineRule="auto"/>
        <w:ind w:left="1080"/>
        <w:contextualSpacing/>
        <w:jc w:val="both"/>
        <w:rPr>
          <w:color w:val="000000"/>
        </w:rPr>
      </w:pPr>
      <w:r w:rsidRPr="00FE6AE7">
        <w:rPr>
          <w:color w:val="000000"/>
        </w:rPr>
        <w:t>The following employees are assigned to the COCC and charged as indicated. This is inclusive of all salary and benefit costs as well as other administrative expenses related to the employee.</w:t>
      </w:r>
    </w:p>
    <w:tbl>
      <w:tblPr>
        <w:tblStyle w:val="TableGrid"/>
        <w:tblW w:w="10304" w:type="dxa"/>
        <w:tblLook w:val="04A0"/>
      </w:tblPr>
      <w:tblGrid>
        <w:gridCol w:w="2448"/>
        <w:gridCol w:w="3960"/>
        <w:gridCol w:w="1286"/>
        <w:gridCol w:w="1440"/>
        <w:gridCol w:w="1170"/>
      </w:tblGrid>
      <w:tr w:rsidR="006C01B1" w:rsidTr="00024C2F">
        <w:trPr>
          <w:trHeight w:val="288"/>
        </w:trPr>
        <w:tc>
          <w:tcPr>
            <w:tcW w:w="2448" w:type="dxa"/>
            <w:shd w:val="clear" w:color="auto" w:fill="D9D9D9" w:themeFill="background1" w:themeFillShade="D9"/>
            <w:vAlign w:val="center"/>
          </w:tcPr>
          <w:p w:rsidR="006C01B1" w:rsidRDefault="006C01B1" w:rsidP="007B765E">
            <w:pPr>
              <w:pStyle w:val="Default"/>
              <w:contextualSpacing/>
              <w:jc w:val="both"/>
              <w:rPr>
                <w:sz w:val="20"/>
                <w:szCs w:val="20"/>
              </w:rPr>
            </w:pPr>
            <w:r>
              <w:rPr>
                <w:sz w:val="20"/>
                <w:szCs w:val="20"/>
              </w:rPr>
              <w:t xml:space="preserve">Department </w:t>
            </w:r>
          </w:p>
        </w:tc>
        <w:tc>
          <w:tcPr>
            <w:tcW w:w="3960" w:type="dxa"/>
            <w:shd w:val="clear" w:color="auto" w:fill="D9D9D9" w:themeFill="background1" w:themeFillShade="D9"/>
            <w:vAlign w:val="center"/>
          </w:tcPr>
          <w:p w:rsidR="006C01B1" w:rsidRDefault="006C01B1" w:rsidP="007B765E">
            <w:pPr>
              <w:pStyle w:val="Default"/>
              <w:contextualSpacing/>
              <w:jc w:val="both"/>
              <w:rPr>
                <w:sz w:val="20"/>
                <w:szCs w:val="20"/>
              </w:rPr>
            </w:pPr>
            <w:r>
              <w:rPr>
                <w:sz w:val="20"/>
                <w:szCs w:val="20"/>
              </w:rPr>
              <w:t xml:space="preserve">Title </w:t>
            </w:r>
          </w:p>
        </w:tc>
        <w:tc>
          <w:tcPr>
            <w:tcW w:w="1286" w:type="dxa"/>
            <w:shd w:val="clear" w:color="auto" w:fill="D9D9D9" w:themeFill="background1" w:themeFillShade="D9"/>
          </w:tcPr>
          <w:p w:rsidR="006C01B1" w:rsidRDefault="006C01B1" w:rsidP="007B765E">
            <w:pPr>
              <w:pStyle w:val="Default"/>
              <w:contextualSpacing/>
              <w:jc w:val="both"/>
              <w:rPr>
                <w:sz w:val="20"/>
                <w:szCs w:val="20"/>
              </w:rPr>
            </w:pPr>
            <w:r>
              <w:rPr>
                <w:sz w:val="20"/>
                <w:szCs w:val="20"/>
              </w:rPr>
              <w:t>COCC</w:t>
            </w:r>
          </w:p>
        </w:tc>
        <w:tc>
          <w:tcPr>
            <w:tcW w:w="1440" w:type="dxa"/>
            <w:shd w:val="clear" w:color="auto" w:fill="D9D9D9" w:themeFill="background1" w:themeFillShade="D9"/>
          </w:tcPr>
          <w:p w:rsidR="006C01B1" w:rsidRDefault="006C01B1" w:rsidP="007B765E">
            <w:pPr>
              <w:pStyle w:val="Default"/>
              <w:contextualSpacing/>
              <w:jc w:val="both"/>
              <w:rPr>
                <w:sz w:val="20"/>
                <w:szCs w:val="20"/>
              </w:rPr>
            </w:pPr>
            <w:r>
              <w:rPr>
                <w:sz w:val="20"/>
                <w:szCs w:val="20"/>
              </w:rPr>
              <w:t>Woodbridge</w:t>
            </w:r>
          </w:p>
        </w:tc>
        <w:tc>
          <w:tcPr>
            <w:tcW w:w="1170" w:type="dxa"/>
            <w:shd w:val="clear" w:color="auto" w:fill="D9D9D9" w:themeFill="background1" w:themeFillShade="D9"/>
          </w:tcPr>
          <w:p w:rsidR="006C01B1" w:rsidRDefault="006C01B1" w:rsidP="007B765E">
            <w:pPr>
              <w:pStyle w:val="Default"/>
              <w:contextualSpacing/>
              <w:jc w:val="both"/>
              <w:rPr>
                <w:sz w:val="20"/>
                <w:szCs w:val="20"/>
              </w:rPr>
            </w:pPr>
            <w:r>
              <w:rPr>
                <w:sz w:val="20"/>
                <w:szCs w:val="20"/>
              </w:rPr>
              <w:t>HOPE VI</w:t>
            </w:r>
          </w:p>
        </w:tc>
      </w:tr>
      <w:tr w:rsidR="006C01B1" w:rsidTr="007B765E">
        <w:trPr>
          <w:trHeight w:val="288"/>
        </w:trPr>
        <w:tc>
          <w:tcPr>
            <w:tcW w:w="2448" w:type="dxa"/>
            <w:vAlign w:val="center"/>
          </w:tcPr>
          <w:p w:rsidR="006C01B1" w:rsidRDefault="006C01B1" w:rsidP="007B765E">
            <w:pPr>
              <w:pStyle w:val="Default"/>
              <w:contextualSpacing/>
              <w:rPr>
                <w:sz w:val="20"/>
                <w:szCs w:val="20"/>
              </w:rPr>
            </w:pPr>
            <w:r>
              <w:rPr>
                <w:sz w:val="20"/>
                <w:szCs w:val="20"/>
              </w:rPr>
              <w:t xml:space="preserve">Executive Office </w:t>
            </w:r>
          </w:p>
        </w:tc>
        <w:tc>
          <w:tcPr>
            <w:tcW w:w="3960" w:type="dxa"/>
            <w:vAlign w:val="center"/>
          </w:tcPr>
          <w:p w:rsidR="006C01B1" w:rsidRDefault="006C01B1" w:rsidP="007B765E">
            <w:pPr>
              <w:pStyle w:val="Default"/>
              <w:contextualSpacing/>
              <w:rPr>
                <w:sz w:val="20"/>
                <w:szCs w:val="20"/>
              </w:rPr>
            </w:pPr>
            <w:r>
              <w:rPr>
                <w:sz w:val="20"/>
                <w:szCs w:val="20"/>
              </w:rPr>
              <w:t xml:space="preserve">Executive Director </w:t>
            </w:r>
          </w:p>
        </w:tc>
        <w:tc>
          <w:tcPr>
            <w:tcW w:w="1286" w:type="dxa"/>
            <w:vAlign w:val="center"/>
          </w:tcPr>
          <w:p w:rsidR="006C01B1" w:rsidRDefault="006C01B1" w:rsidP="007B765E">
            <w:pPr>
              <w:pStyle w:val="Default"/>
              <w:contextualSpacing/>
              <w:rPr>
                <w:sz w:val="20"/>
                <w:szCs w:val="20"/>
              </w:rPr>
            </w:pPr>
            <w:r>
              <w:rPr>
                <w:sz w:val="20"/>
                <w:szCs w:val="20"/>
              </w:rPr>
              <w:t>77%</w:t>
            </w:r>
          </w:p>
        </w:tc>
        <w:tc>
          <w:tcPr>
            <w:tcW w:w="1440" w:type="dxa"/>
            <w:vAlign w:val="center"/>
          </w:tcPr>
          <w:p w:rsidR="006C01B1" w:rsidRDefault="006C01B1" w:rsidP="007B765E">
            <w:pPr>
              <w:pStyle w:val="Default"/>
              <w:contextualSpacing/>
              <w:rPr>
                <w:sz w:val="20"/>
                <w:szCs w:val="20"/>
              </w:rPr>
            </w:pPr>
            <w:r>
              <w:rPr>
                <w:sz w:val="20"/>
                <w:szCs w:val="20"/>
              </w:rPr>
              <w:t>8%</w:t>
            </w:r>
          </w:p>
        </w:tc>
        <w:tc>
          <w:tcPr>
            <w:tcW w:w="1170" w:type="dxa"/>
            <w:vAlign w:val="center"/>
          </w:tcPr>
          <w:p w:rsidR="006C01B1" w:rsidRDefault="006C01B1" w:rsidP="007B765E">
            <w:pPr>
              <w:pStyle w:val="Default"/>
              <w:contextualSpacing/>
              <w:rPr>
                <w:sz w:val="20"/>
                <w:szCs w:val="20"/>
              </w:rPr>
            </w:pPr>
            <w:r>
              <w:rPr>
                <w:sz w:val="20"/>
                <w:szCs w:val="20"/>
              </w:rPr>
              <w:t>15%</w:t>
            </w:r>
          </w:p>
        </w:tc>
      </w:tr>
      <w:tr w:rsidR="006C01B1" w:rsidTr="007B765E">
        <w:trPr>
          <w:trHeight w:val="288"/>
        </w:trPr>
        <w:tc>
          <w:tcPr>
            <w:tcW w:w="2448" w:type="dxa"/>
            <w:vAlign w:val="center"/>
          </w:tcPr>
          <w:p w:rsidR="006C01B1" w:rsidRDefault="006C01B1" w:rsidP="007B765E">
            <w:pPr>
              <w:pStyle w:val="Default"/>
              <w:contextualSpacing/>
              <w:rPr>
                <w:color w:val="auto"/>
              </w:rPr>
            </w:pPr>
          </w:p>
        </w:tc>
        <w:tc>
          <w:tcPr>
            <w:tcW w:w="3960" w:type="dxa"/>
            <w:vAlign w:val="center"/>
          </w:tcPr>
          <w:p w:rsidR="006C01B1" w:rsidRDefault="006C01B1" w:rsidP="007B765E">
            <w:pPr>
              <w:pStyle w:val="Default"/>
              <w:contextualSpacing/>
              <w:rPr>
                <w:sz w:val="20"/>
                <w:szCs w:val="20"/>
              </w:rPr>
            </w:pPr>
            <w:r>
              <w:rPr>
                <w:sz w:val="20"/>
                <w:szCs w:val="20"/>
              </w:rPr>
              <w:t xml:space="preserve">Executive Secretary </w:t>
            </w:r>
          </w:p>
        </w:tc>
        <w:tc>
          <w:tcPr>
            <w:tcW w:w="1286" w:type="dxa"/>
            <w:vAlign w:val="center"/>
          </w:tcPr>
          <w:p w:rsidR="006C01B1" w:rsidRDefault="006C01B1" w:rsidP="007B765E">
            <w:pPr>
              <w:pStyle w:val="Default"/>
              <w:contextualSpacing/>
              <w:rPr>
                <w:sz w:val="20"/>
                <w:szCs w:val="20"/>
              </w:rPr>
            </w:pPr>
            <w:r>
              <w:rPr>
                <w:sz w:val="20"/>
                <w:szCs w:val="20"/>
              </w:rPr>
              <w:t>100%</w:t>
            </w:r>
          </w:p>
        </w:tc>
        <w:tc>
          <w:tcPr>
            <w:tcW w:w="1440" w:type="dxa"/>
            <w:vAlign w:val="center"/>
          </w:tcPr>
          <w:p w:rsidR="006C01B1" w:rsidRDefault="006C01B1" w:rsidP="007B765E">
            <w:pPr>
              <w:pStyle w:val="Default"/>
              <w:contextualSpacing/>
              <w:rPr>
                <w:sz w:val="20"/>
                <w:szCs w:val="20"/>
              </w:rPr>
            </w:pPr>
          </w:p>
        </w:tc>
        <w:tc>
          <w:tcPr>
            <w:tcW w:w="1170" w:type="dxa"/>
            <w:vAlign w:val="center"/>
          </w:tcPr>
          <w:p w:rsidR="006C01B1" w:rsidRDefault="006C01B1" w:rsidP="007B765E">
            <w:pPr>
              <w:pStyle w:val="Default"/>
              <w:contextualSpacing/>
              <w:rPr>
                <w:sz w:val="20"/>
                <w:szCs w:val="20"/>
              </w:rPr>
            </w:pPr>
          </w:p>
        </w:tc>
      </w:tr>
      <w:tr w:rsidR="006C01B1" w:rsidTr="007B765E">
        <w:trPr>
          <w:trHeight w:val="288"/>
        </w:trPr>
        <w:tc>
          <w:tcPr>
            <w:tcW w:w="2448" w:type="dxa"/>
            <w:vAlign w:val="center"/>
          </w:tcPr>
          <w:p w:rsidR="006C01B1" w:rsidRDefault="006C01B1" w:rsidP="007B765E">
            <w:pPr>
              <w:pStyle w:val="Default"/>
              <w:contextualSpacing/>
              <w:rPr>
                <w:sz w:val="20"/>
                <w:szCs w:val="20"/>
              </w:rPr>
            </w:pPr>
            <w:r>
              <w:rPr>
                <w:sz w:val="20"/>
                <w:szCs w:val="20"/>
              </w:rPr>
              <w:t xml:space="preserve">Finance </w:t>
            </w:r>
          </w:p>
        </w:tc>
        <w:tc>
          <w:tcPr>
            <w:tcW w:w="3960" w:type="dxa"/>
            <w:vAlign w:val="center"/>
          </w:tcPr>
          <w:p w:rsidR="006C01B1" w:rsidRDefault="006C01B1" w:rsidP="007B765E">
            <w:pPr>
              <w:pStyle w:val="Default"/>
              <w:contextualSpacing/>
              <w:rPr>
                <w:sz w:val="20"/>
                <w:szCs w:val="20"/>
              </w:rPr>
            </w:pPr>
            <w:r>
              <w:rPr>
                <w:sz w:val="20"/>
                <w:szCs w:val="20"/>
              </w:rPr>
              <w:t xml:space="preserve">Director of Finance </w:t>
            </w:r>
          </w:p>
        </w:tc>
        <w:tc>
          <w:tcPr>
            <w:tcW w:w="1286" w:type="dxa"/>
            <w:vAlign w:val="center"/>
          </w:tcPr>
          <w:p w:rsidR="006C01B1" w:rsidRDefault="006C01B1" w:rsidP="007B765E">
            <w:pPr>
              <w:pStyle w:val="Default"/>
              <w:contextualSpacing/>
              <w:rPr>
                <w:sz w:val="20"/>
                <w:szCs w:val="20"/>
              </w:rPr>
            </w:pPr>
            <w:r>
              <w:rPr>
                <w:sz w:val="20"/>
                <w:szCs w:val="20"/>
              </w:rPr>
              <w:t>77%</w:t>
            </w:r>
          </w:p>
        </w:tc>
        <w:tc>
          <w:tcPr>
            <w:tcW w:w="1440" w:type="dxa"/>
            <w:vAlign w:val="center"/>
          </w:tcPr>
          <w:p w:rsidR="006C01B1" w:rsidRDefault="006C01B1" w:rsidP="007B765E">
            <w:pPr>
              <w:pStyle w:val="Default"/>
              <w:contextualSpacing/>
              <w:rPr>
                <w:sz w:val="20"/>
                <w:szCs w:val="20"/>
              </w:rPr>
            </w:pPr>
            <w:r>
              <w:rPr>
                <w:sz w:val="20"/>
                <w:szCs w:val="20"/>
              </w:rPr>
              <w:t>8%</w:t>
            </w:r>
          </w:p>
        </w:tc>
        <w:tc>
          <w:tcPr>
            <w:tcW w:w="1170" w:type="dxa"/>
            <w:vAlign w:val="center"/>
          </w:tcPr>
          <w:p w:rsidR="006C01B1" w:rsidRDefault="006C01B1" w:rsidP="007B765E">
            <w:pPr>
              <w:pStyle w:val="Default"/>
              <w:contextualSpacing/>
              <w:rPr>
                <w:sz w:val="20"/>
                <w:szCs w:val="20"/>
              </w:rPr>
            </w:pPr>
            <w:r>
              <w:rPr>
                <w:sz w:val="20"/>
                <w:szCs w:val="20"/>
              </w:rPr>
              <w:t>15%</w:t>
            </w:r>
          </w:p>
        </w:tc>
      </w:tr>
      <w:tr w:rsidR="006C01B1" w:rsidTr="007B765E">
        <w:trPr>
          <w:trHeight w:val="288"/>
        </w:trPr>
        <w:tc>
          <w:tcPr>
            <w:tcW w:w="2448" w:type="dxa"/>
            <w:vAlign w:val="center"/>
          </w:tcPr>
          <w:p w:rsidR="006C01B1" w:rsidRDefault="006C01B1" w:rsidP="007B765E">
            <w:pPr>
              <w:pStyle w:val="Default"/>
              <w:contextualSpacing/>
              <w:rPr>
                <w:color w:val="auto"/>
              </w:rPr>
            </w:pPr>
          </w:p>
        </w:tc>
        <w:tc>
          <w:tcPr>
            <w:tcW w:w="3960" w:type="dxa"/>
            <w:vAlign w:val="center"/>
          </w:tcPr>
          <w:p w:rsidR="006C01B1" w:rsidRDefault="006C01B1" w:rsidP="007B765E">
            <w:pPr>
              <w:pStyle w:val="Default"/>
              <w:contextualSpacing/>
              <w:rPr>
                <w:sz w:val="20"/>
                <w:szCs w:val="20"/>
              </w:rPr>
            </w:pPr>
            <w:r>
              <w:rPr>
                <w:sz w:val="20"/>
                <w:szCs w:val="20"/>
              </w:rPr>
              <w:t>Payroll Manager</w:t>
            </w:r>
          </w:p>
        </w:tc>
        <w:tc>
          <w:tcPr>
            <w:tcW w:w="1286" w:type="dxa"/>
            <w:vAlign w:val="center"/>
          </w:tcPr>
          <w:p w:rsidR="006C01B1" w:rsidRDefault="006C01B1" w:rsidP="007B765E">
            <w:pPr>
              <w:pStyle w:val="Default"/>
              <w:contextualSpacing/>
              <w:rPr>
                <w:sz w:val="20"/>
                <w:szCs w:val="20"/>
              </w:rPr>
            </w:pPr>
            <w:r>
              <w:rPr>
                <w:sz w:val="20"/>
                <w:szCs w:val="20"/>
              </w:rPr>
              <w:t>92%</w:t>
            </w:r>
          </w:p>
        </w:tc>
        <w:tc>
          <w:tcPr>
            <w:tcW w:w="1440" w:type="dxa"/>
            <w:vAlign w:val="center"/>
          </w:tcPr>
          <w:p w:rsidR="006C01B1" w:rsidRDefault="006C01B1" w:rsidP="007B765E">
            <w:pPr>
              <w:pStyle w:val="Default"/>
              <w:contextualSpacing/>
              <w:rPr>
                <w:sz w:val="20"/>
                <w:szCs w:val="20"/>
              </w:rPr>
            </w:pPr>
            <w:r>
              <w:rPr>
                <w:sz w:val="20"/>
                <w:szCs w:val="20"/>
              </w:rPr>
              <w:t>8%</w:t>
            </w:r>
          </w:p>
        </w:tc>
        <w:tc>
          <w:tcPr>
            <w:tcW w:w="1170" w:type="dxa"/>
            <w:vAlign w:val="center"/>
          </w:tcPr>
          <w:p w:rsidR="006C01B1" w:rsidRDefault="006C01B1" w:rsidP="007B765E">
            <w:pPr>
              <w:pStyle w:val="Default"/>
              <w:contextualSpacing/>
              <w:rPr>
                <w:sz w:val="20"/>
                <w:szCs w:val="20"/>
              </w:rPr>
            </w:pPr>
          </w:p>
        </w:tc>
      </w:tr>
      <w:tr w:rsidR="006C01B1" w:rsidTr="007B765E">
        <w:trPr>
          <w:trHeight w:val="288"/>
        </w:trPr>
        <w:tc>
          <w:tcPr>
            <w:tcW w:w="2448" w:type="dxa"/>
            <w:vAlign w:val="center"/>
          </w:tcPr>
          <w:p w:rsidR="006C01B1" w:rsidRDefault="006C01B1" w:rsidP="007B765E">
            <w:pPr>
              <w:pStyle w:val="Default"/>
              <w:contextualSpacing/>
              <w:rPr>
                <w:color w:val="auto"/>
              </w:rPr>
            </w:pPr>
          </w:p>
        </w:tc>
        <w:tc>
          <w:tcPr>
            <w:tcW w:w="3960" w:type="dxa"/>
            <w:vAlign w:val="center"/>
          </w:tcPr>
          <w:p w:rsidR="006C01B1" w:rsidRDefault="006C01B1" w:rsidP="007B765E">
            <w:pPr>
              <w:pStyle w:val="Default"/>
              <w:contextualSpacing/>
              <w:rPr>
                <w:sz w:val="20"/>
                <w:szCs w:val="20"/>
              </w:rPr>
            </w:pPr>
            <w:r>
              <w:rPr>
                <w:sz w:val="20"/>
                <w:szCs w:val="20"/>
              </w:rPr>
              <w:t xml:space="preserve">Finance Clerk </w:t>
            </w:r>
          </w:p>
        </w:tc>
        <w:tc>
          <w:tcPr>
            <w:tcW w:w="1286" w:type="dxa"/>
            <w:vAlign w:val="center"/>
          </w:tcPr>
          <w:p w:rsidR="006C01B1" w:rsidRDefault="006C01B1" w:rsidP="007B765E">
            <w:pPr>
              <w:pStyle w:val="Default"/>
              <w:contextualSpacing/>
              <w:rPr>
                <w:sz w:val="20"/>
                <w:szCs w:val="20"/>
              </w:rPr>
            </w:pPr>
            <w:r>
              <w:rPr>
                <w:sz w:val="20"/>
                <w:szCs w:val="20"/>
              </w:rPr>
              <w:t>50%</w:t>
            </w:r>
          </w:p>
        </w:tc>
        <w:tc>
          <w:tcPr>
            <w:tcW w:w="1440" w:type="dxa"/>
            <w:vAlign w:val="center"/>
          </w:tcPr>
          <w:p w:rsidR="006C01B1" w:rsidRDefault="006C01B1" w:rsidP="007B765E">
            <w:pPr>
              <w:pStyle w:val="Default"/>
              <w:contextualSpacing/>
              <w:rPr>
                <w:sz w:val="20"/>
                <w:szCs w:val="20"/>
              </w:rPr>
            </w:pPr>
            <w:r>
              <w:rPr>
                <w:sz w:val="20"/>
                <w:szCs w:val="20"/>
              </w:rPr>
              <w:t>50%</w:t>
            </w:r>
          </w:p>
        </w:tc>
        <w:tc>
          <w:tcPr>
            <w:tcW w:w="1170" w:type="dxa"/>
            <w:vAlign w:val="center"/>
          </w:tcPr>
          <w:p w:rsidR="006C01B1" w:rsidRDefault="006C01B1" w:rsidP="007B765E">
            <w:pPr>
              <w:pStyle w:val="Default"/>
              <w:contextualSpacing/>
              <w:rPr>
                <w:sz w:val="20"/>
                <w:szCs w:val="20"/>
              </w:rPr>
            </w:pPr>
          </w:p>
        </w:tc>
      </w:tr>
      <w:tr w:rsidR="006C01B1" w:rsidTr="007B765E">
        <w:trPr>
          <w:trHeight w:val="288"/>
        </w:trPr>
        <w:tc>
          <w:tcPr>
            <w:tcW w:w="2448" w:type="dxa"/>
            <w:vAlign w:val="center"/>
          </w:tcPr>
          <w:p w:rsidR="006C01B1" w:rsidRDefault="006C01B1" w:rsidP="007B765E">
            <w:pPr>
              <w:pStyle w:val="Default"/>
              <w:contextualSpacing/>
              <w:rPr>
                <w:sz w:val="20"/>
                <w:szCs w:val="20"/>
              </w:rPr>
            </w:pPr>
            <w:r>
              <w:rPr>
                <w:sz w:val="20"/>
                <w:szCs w:val="20"/>
              </w:rPr>
              <w:t xml:space="preserve">Housing </w:t>
            </w:r>
          </w:p>
        </w:tc>
        <w:tc>
          <w:tcPr>
            <w:tcW w:w="3960" w:type="dxa"/>
            <w:vAlign w:val="center"/>
          </w:tcPr>
          <w:p w:rsidR="006C01B1" w:rsidRDefault="006C01B1" w:rsidP="007B765E">
            <w:pPr>
              <w:pStyle w:val="Default"/>
              <w:contextualSpacing/>
              <w:rPr>
                <w:sz w:val="20"/>
                <w:szCs w:val="20"/>
              </w:rPr>
            </w:pPr>
            <w:r>
              <w:rPr>
                <w:sz w:val="20"/>
                <w:szCs w:val="20"/>
              </w:rPr>
              <w:t>Director of Housing Programs</w:t>
            </w:r>
          </w:p>
        </w:tc>
        <w:tc>
          <w:tcPr>
            <w:tcW w:w="1286" w:type="dxa"/>
            <w:vAlign w:val="center"/>
          </w:tcPr>
          <w:p w:rsidR="006C01B1" w:rsidRDefault="006C01B1" w:rsidP="007B765E">
            <w:pPr>
              <w:pStyle w:val="Default"/>
              <w:contextualSpacing/>
              <w:rPr>
                <w:sz w:val="20"/>
                <w:szCs w:val="20"/>
              </w:rPr>
            </w:pPr>
            <w:r>
              <w:rPr>
                <w:sz w:val="20"/>
                <w:szCs w:val="20"/>
              </w:rPr>
              <w:t>100%</w:t>
            </w:r>
          </w:p>
        </w:tc>
        <w:tc>
          <w:tcPr>
            <w:tcW w:w="1440" w:type="dxa"/>
            <w:vAlign w:val="center"/>
          </w:tcPr>
          <w:p w:rsidR="006C01B1" w:rsidRDefault="006C01B1" w:rsidP="007B765E">
            <w:pPr>
              <w:pStyle w:val="Default"/>
              <w:contextualSpacing/>
              <w:rPr>
                <w:sz w:val="20"/>
                <w:szCs w:val="20"/>
              </w:rPr>
            </w:pPr>
          </w:p>
        </w:tc>
        <w:tc>
          <w:tcPr>
            <w:tcW w:w="1170" w:type="dxa"/>
            <w:vAlign w:val="center"/>
          </w:tcPr>
          <w:p w:rsidR="006C01B1" w:rsidRDefault="006C01B1" w:rsidP="007B765E">
            <w:pPr>
              <w:pStyle w:val="Default"/>
              <w:contextualSpacing/>
              <w:rPr>
                <w:sz w:val="20"/>
                <w:szCs w:val="20"/>
              </w:rPr>
            </w:pPr>
          </w:p>
        </w:tc>
      </w:tr>
      <w:tr w:rsidR="006C01B1" w:rsidTr="007B765E">
        <w:trPr>
          <w:trHeight w:val="288"/>
        </w:trPr>
        <w:tc>
          <w:tcPr>
            <w:tcW w:w="2448" w:type="dxa"/>
            <w:vAlign w:val="center"/>
          </w:tcPr>
          <w:p w:rsidR="006C01B1" w:rsidRPr="000C2AEC" w:rsidRDefault="006C01B1" w:rsidP="007B765E">
            <w:pPr>
              <w:pStyle w:val="Default"/>
              <w:contextualSpacing/>
              <w:rPr>
                <w:color w:val="auto"/>
                <w:sz w:val="20"/>
                <w:szCs w:val="20"/>
              </w:rPr>
            </w:pPr>
            <w:r w:rsidRPr="000C2AEC">
              <w:rPr>
                <w:color w:val="auto"/>
                <w:sz w:val="20"/>
                <w:szCs w:val="20"/>
              </w:rPr>
              <w:t>Property Manag</w:t>
            </w:r>
            <w:r>
              <w:rPr>
                <w:color w:val="auto"/>
                <w:sz w:val="20"/>
                <w:szCs w:val="20"/>
              </w:rPr>
              <w:t>e</w:t>
            </w:r>
            <w:r w:rsidRPr="000C2AEC">
              <w:rPr>
                <w:color w:val="auto"/>
                <w:sz w:val="20"/>
                <w:szCs w:val="20"/>
              </w:rPr>
              <w:t>ment</w:t>
            </w:r>
          </w:p>
        </w:tc>
        <w:tc>
          <w:tcPr>
            <w:tcW w:w="3960" w:type="dxa"/>
            <w:vAlign w:val="center"/>
          </w:tcPr>
          <w:p w:rsidR="006C01B1" w:rsidRDefault="006C01B1" w:rsidP="007B765E">
            <w:pPr>
              <w:pStyle w:val="Default"/>
              <w:contextualSpacing/>
              <w:rPr>
                <w:color w:val="auto"/>
              </w:rPr>
            </w:pPr>
            <w:r>
              <w:rPr>
                <w:sz w:val="20"/>
                <w:szCs w:val="20"/>
              </w:rPr>
              <w:t>Director of Property Management</w:t>
            </w:r>
          </w:p>
        </w:tc>
        <w:tc>
          <w:tcPr>
            <w:tcW w:w="1286" w:type="dxa"/>
            <w:vAlign w:val="center"/>
          </w:tcPr>
          <w:p w:rsidR="006C01B1" w:rsidRDefault="006C01B1" w:rsidP="007B765E">
            <w:pPr>
              <w:pStyle w:val="Default"/>
              <w:contextualSpacing/>
              <w:rPr>
                <w:sz w:val="20"/>
                <w:szCs w:val="20"/>
              </w:rPr>
            </w:pPr>
            <w:r>
              <w:rPr>
                <w:sz w:val="20"/>
                <w:szCs w:val="20"/>
              </w:rPr>
              <w:t>100%</w:t>
            </w:r>
          </w:p>
        </w:tc>
        <w:tc>
          <w:tcPr>
            <w:tcW w:w="1440" w:type="dxa"/>
            <w:vAlign w:val="center"/>
          </w:tcPr>
          <w:p w:rsidR="006C01B1" w:rsidRDefault="006C01B1" w:rsidP="007B765E">
            <w:pPr>
              <w:pStyle w:val="Default"/>
              <w:contextualSpacing/>
              <w:rPr>
                <w:sz w:val="20"/>
                <w:szCs w:val="20"/>
              </w:rPr>
            </w:pPr>
          </w:p>
        </w:tc>
        <w:tc>
          <w:tcPr>
            <w:tcW w:w="1170" w:type="dxa"/>
            <w:vAlign w:val="center"/>
          </w:tcPr>
          <w:p w:rsidR="006C01B1" w:rsidRDefault="006C01B1" w:rsidP="007B765E">
            <w:pPr>
              <w:pStyle w:val="Default"/>
              <w:contextualSpacing/>
              <w:rPr>
                <w:sz w:val="20"/>
                <w:szCs w:val="20"/>
              </w:rPr>
            </w:pPr>
          </w:p>
        </w:tc>
      </w:tr>
      <w:tr w:rsidR="006C01B1" w:rsidTr="007B765E">
        <w:trPr>
          <w:trHeight w:val="288"/>
        </w:trPr>
        <w:tc>
          <w:tcPr>
            <w:tcW w:w="2448" w:type="dxa"/>
            <w:vAlign w:val="center"/>
          </w:tcPr>
          <w:p w:rsidR="006C01B1" w:rsidRDefault="006C01B1" w:rsidP="007B765E">
            <w:pPr>
              <w:pStyle w:val="Default"/>
              <w:contextualSpacing/>
              <w:rPr>
                <w:sz w:val="20"/>
                <w:szCs w:val="20"/>
              </w:rPr>
            </w:pPr>
            <w:r>
              <w:rPr>
                <w:sz w:val="20"/>
                <w:szCs w:val="20"/>
              </w:rPr>
              <w:t xml:space="preserve">Maintenance </w:t>
            </w:r>
          </w:p>
        </w:tc>
        <w:tc>
          <w:tcPr>
            <w:tcW w:w="3960" w:type="dxa"/>
            <w:vAlign w:val="center"/>
          </w:tcPr>
          <w:p w:rsidR="006C01B1" w:rsidRDefault="006C01B1" w:rsidP="007B765E">
            <w:pPr>
              <w:pStyle w:val="Default"/>
              <w:contextualSpacing/>
              <w:rPr>
                <w:sz w:val="20"/>
                <w:szCs w:val="20"/>
              </w:rPr>
            </w:pPr>
            <w:r>
              <w:rPr>
                <w:sz w:val="20"/>
                <w:szCs w:val="20"/>
              </w:rPr>
              <w:t xml:space="preserve">Director of Maintenance/Modernization </w:t>
            </w:r>
          </w:p>
        </w:tc>
        <w:tc>
          <w:tcPr>
            <w:tcW w:w="1286" w:type="dxa"/>
            <w:vAlign w:val="center"/>
          </w:tcPr>
          <w:p w:rsidR="006C01B1" w:rsidRDefault="006C01B1" w:rsidP="007B765E">
            <w:pPr>
              <w:pStyle w:val="Default"/>
              <w:contextualSpacing/>
              <w:rPr>
                <w:sz w:val="20"/>
                <w:szCs w:val="20"/>
              </w:rPr>
            </w:pPr>
            <w:r>
              <w:rPr>
                <w:sz w:val="20"/>
                <w:szCs w:val="20"/>
              </w:rPr>
              <w:t>93%</w:t>
            </w:r>
          </w:p>
        </w:tc>
        <w:tc>
          <w:tcPr>
            <w:tcW w:w="1440" w:type="dxa"/>
            <w:vAlign w:val="center"/>
          </w:tcPr>
          <w:p w:rsidR="006C01B1" w:rsidRDefault="006C01B1" w:rsidP="007B765E">
            <w:pPr>
              <w:pStyle w:val="Default"/>
              <w:contextualSpacing/>
              <w:rPr>
                <w:sz w:val="20"/>
                <w:szCs w:val="20"/>
              </w:rPr>
            </w:pPr>
          </w:p>
        </w:tc>
        <w:tc>
          <w:tcPr>
            <w:tcW w:w="1170" w:type="dxa"/>
            <w:vAlign w:val="center"/>
          </w:tcPr>
          <w:p w:rsidR="006C01B1" w:rsidRDefault="006C01B1" w:rsidP="007B765E">
            <w:pPr>
              <w:pStyle w:val="Default"/>
              <w:contextualSpacing/>
              <w:rPr>
                <w:sz w:val="20"/>
                <w:szCs w:val="20"/>
              </w:rPr>
            </w:pPr>
            <w:r>
              <w:rPr>
                <w:sz w:val="20"/>
                <w:szCs w:val="20"/>
              </w:rPr>
              <w:t>7%</w:t>
            </w:r>
          </w:p>
        </w:tc>
      </w:tr>
    </w:tbl>
    <w:p w:rsidR="007B765E" w:rsidRDefault="007B765E" w:rsidP="007B765E">
      <w:pPr>
        <w:pStyle w:val="CM30"/>
        <w:contextualSpacing/>
        <w:jc w:val="both"/>
      </w:pPr>
    </w:p>
    <w:p w:rsidR="007B765E" w:rsidRPr="007B765E" w:rsidRDefault="007B765E" w:rsidP="007B765E">
      <w:pPr>
        <w:pStyle w:val="Default"/>
      </w:pPr>
    </w:p>
    <w:p w:rsidR="00D461C3" w:rsidRDefault="00A30969" w:rsidP="003F3717">
      <w:pPr>
        <w:pStyle w:val="CM30"/>
        <w:numPr>
          <w:ilvl w:val="0"/>
          <w:numId w:val="4"/>
        </w:numPr>
        <w:ind w:left="1080"/>
        <w:contextualSpacing/>
        <w:jc w:val="both"/>
      </w:pPr>
      <w:r w:rsidRPr="00126658">
        <w:t>Other administrative expenses charged to the COCC. Following are example</w:t>
      </w:r>
      <w:r w:rsidR="0074785C">
        <w:t>s</w:t>
      </w:r>
      <w:r w:rsidRPr="00126658">
        <w:t xml:space="preserve"> of other types of administrative costs that may be charged to the </w:t>
      </w:r>
      <w:r w:rsidR="00024C2F">
        <w:t>COCC</w:t>
      </w:r>
      <w:r w:rsidRPr="00126658">
        <w:t xml:space="preserve">. </w:t>
      </w:r>
    </w:p>
    <w:p w:rsidR="007B765E" w:rsidRPr="007B765E" w:rsidRDefault="007B765E" w:rsidP="007B765E">
      <w:pPr>
        <w:pStyle w:val="Default"/>
      </w:pPr>
    </w:p>
    <w:p w:rsidR="006C01B1" w:rsidRDefault="006C01B1" w:rsidP="007B765E">
      <w:pPr>
        <w:pStyle w:val="Default"/>
        <w:contextualSpacing/>
        <w:jc w:val="both"/>
      </w:pPr>
    </w:p>
    <w:tbl>
      <w:tblPr>
        <w:tblStyle w:val="TableGrid"/>
        <w:tblW w:w="0" w:type="auto"/>
        <w:tblLook w:val="04A0"/>
      </w:tblPr>
      <w:tblGrid>
        <w:gridCol w:w="3432"/>
        <w:gridCol w:w="3432"/>
        <w:gridCol w:w="3432"/>
      </w:tblGrid>
      <w:tr w:rsidR="006C01B1" w:rsidTr="00E11251">
        <w:tc>
          <w:tcPr>
            <w:tcW w:w="3432" w:type="dxa"/>
            <w:shd w:val="clear" w:color="auto" w:fill="D9D9D9" w:themeFill="background1" w:themeFillShade="D9"/>
            <w:vAlign w:val="center"/>
          </w:tcPr>
          <w:p w:rsidR="006C01B1" w:rsidRDefault="006C01B1" w:rsidP="007B765E">
            <w:pPr>
              <w:pStyle w:val="Default"/>
              <w:contextualSpacing/>
              <w:jc w:val="both"/>
              <w:rPr>
                <w:sz w:val="20"/>
                <w:szCs w:val="20"/>
              </w:rPr>
            </w:pPr>
            <w:r>
              <w:rPr>
                <w:sz w:val="20"/>
                <w:szCs w:val="20"/>
              </w:rPr>
              <w:t xml:space="preserve">Cost </w:t>
            </w:r>
          </w:p>
        </w:tc>
        <w:tc>
          <w:tcPr>
            <w:tcW w:w="3432" w:type="dxa"/>
            <w:shd w:val="clear" w:color="auto" w:fill="D9D9D9" w:themeFill="background1" w:themeFillShade="D9"/>
            <w:vAlign w:val="center"/>
          </w:tcPr>
          <w:p w:rsidR="006C01B1" w:rsidRDefault="006C01B1" w:rsidP="007B765E">
            <w:pPr>
              <w:pStyle w:val="Default"/>
              <w:contextualSpacing/>
              <w:jc w:val="both"/>
              <w:rPr>
                <w:sz w:val="20"/>
                <w:szCs w:val="20"/>
              </w:rPr>
            </w:pPr>
            <w:r>
              <w:rPr>
                <w:sz w:val="20"/>
                <w:szCs w:val="20"/>
              </w:rPr>
              <w:t xml:space="preserve">Description </w:t>
            </w:r>
          </w:p>
        </w:tc>
        <w:tc>
          <w:tcPr>
            <w:tcW w:w="3432" w:type="dxa"/>
            <w:shd w:val="clear" w:color="auto" w:fill="D9D9D9" w:themeFill="background1" w:themeFillShade="D9"/>
            <w:vAlign w:val="center"/>
          </w:tcPr>
          <w:p w:rsidR="006C01B1" w:rsidRDefault="006C01B1" w:rsidP="007B765E">
            <w:pPr>
              <w:pStyle w:val="Default"/>
              <w:contextualSpacing/>
              <w:jc w:val="both"/>
              <w:rPr>
                <w:sz w:val="20"/>
                <w:szCs w:val="20"/>
              </w:rPr>
            </w:pPr>
            <w:r>
              <w:rPr>
                <w:sz w:val="20"/>
                <w:szCs w:val="20"/>
              </w:rPr>
              <w:t xml:space="preserve">Methodology </w:t>
            </w:r>
          </w:p>
        </w:tc>
      </w:tr>
      <w:tr w:rsidR="006C01B1" w:rsidTr="00F106E2">
        <w:trPr>
          <w:trHeight w:val="1061"/>
        </w:trPr>
        <w:tc>
          <w:tcPr>
            <w:tcW w:w="3432" w:type="dxa"/>
            <w:vAlign w:val="center"/>
          </w:tcPr>
          <w:p w:rsidR="006C01B1" w:rsidRDefault="006C01B1" w:rsidP="007B765E">
            <w:pPr>
              <w:pStyle w:val="Default"/>
              <w:contextualSpacing/>
              <w:jc w:val="both"/>
              <w:rPr>
                <w:sz w:val="20"/>
                <w:szCs w:val="20"/>
              </w:rPr>
            </w:pPr>
            <w:r>
              <w:rPr>
                <w:sz w:val="20"/>
                <w:szCs w:val="20"/>
              </w:rPr>
              <w:t xml:space="preserve">Legal </w:t>
            </w:r>
          </w:p>
        </w:tc>
        <w:tc>
          <w:tcPr>
            <w:tcW w:w="3432" w:type="dxa"/>
            <w:vAlign w:val="center"/>
          </w:tcPr>
          <w:p w:rsidR="006C01B1" w:rsidRDefault="006C01B1" w:rsidP="007B765E">
            <w:pPr>
              <w:pStyle w:val="Default"/>
              <w:contextualSpacing/>
              <w:jc w:val="both"/>
              <w:rPr>
                <w:sz w:val="20"/>
                <w:szCs w:val="20"/>
              </w:rPr>
            </w:pPr>
            <w:r>
              <w:rPr>
                <w:sz w:val="20"/>
                <w:szCs w:val="20"/>
              </w:rPr>
              <w:t xml:space="preserve">Costs associated with an attorney reviewing contracts unrelated to specific programs and any retainer fees paid are funded by the COCC. </w:t>
            </w:r>
          </w:p>
        </w:tc>
        <w:tc>
          <w:tcPr>
            <w:tcW w:w="3432" w:type="dxa"/>
            <w:vAlign w:val="center"/>
          </w:tcPr>
          <w:p w:rsidR="006C01B1" w:rsidRDefault="006C01B1" w:rsidP="007B765E">
            <w:pPr>
              <w:pStyle w:val="Default"/>
              <w:contextualSpacing/>
              <w:jc w:val="both"/>
              <w:rPr>
                <w:sz w:val="20"/>
                <w:szCs w:val="20"/>
              </w:rPr>
            </w:pPr>
            <w:r>
              <w:rPr>
                <w:sz w:val="20"/>
                <w:szCs w:val="20"/>
              </w:rPr>
              <w:t xml:space="preserve">Direct charge to the COCC </w:t>
            </w:r>
          </w:p>
        </w:tc>
      </w:tr>
      <w:tr w:rsidR="006C01B1" w:rsidTr="00F106E2">
        <w:trPr>
          <w:trHeight w:val="1691"/>
        </w:trPr>
        <w:tc>
          <w:tcPr>
            <w:tcW w:w="3432" w:type="dxa"/>
            <w:vAlign w:val="center"/>
          </w:tcPr>
          <w:p w:rsidR="006C01B1" w:rsidRDefault="006C01B1" w:rsidP="007B765E">
            <w:pPr>
              <w:pStyle w:val="Default"/>
              <w:contextualSpacing/>
              <w:jc w:val="both"/>
              <w:rPr>
                <w:sz w:val="20"/>
                <w:szCs w:val="20"/>
              </w:rPr>
            </w:pPr>
            <w:r>
              <w:rPr>
                <w:sz w:val="20"/>
                <w:szCs w:val="20"/>
              </w:rPr>
              <w:t xml:space="preserve">Audit </w:t>
            </w:r>
          </w:p>
        </w:tc>
        <w:tc>
          <w:tcPr>
            <w:tcW w:w="3432" w:type="dxa"/>
            <w:vAlign w:val="center"/>
          </w:tcPr>
          <w:p w:rsidR="006C01B1" w:rsidRDefault="006C01B1" w:rsidP="007B765E">
            <w:pPr>
              <w:pStyle w:val="Default"/>
              <w:contextualSpacing/>
              <w:jc w:val="both"/>
              <w:rPr>
                <w:sz w:val="20"/>
                <w:szCs w:val="20"/>
              </w:rPr>
            </w:pPr>
            <w:r>
              <w:rPr>
                <w:sz w:val="20"/>
                <w:szCs w:val="20"/>
              </w:rPr>
              <w:t xml:space="preserve">Audit costs are for the entire authority and should be distributed to all programs. </w:t>
            </w:r>
          </w:p>
        </w:tc>
        <w:tc>
          <w:tcPr>
            <w:tcW w:w="3432" w:type="dxa"/>
            <w:vAlign w:val="center"/>
          </w:tcPr>
          <w:p w:rsidR="006C01B1" w:rsidRDefault="006C01B1" w:rsidP="007B765E">
            <w:pPr>
              <w:pStyle w:val="Default"/>
              <w:contextualSpacing/>
              <w:jc w:val="both"/>
              <w:rPr>
                <w:sz w:val="20"/>
                <w:szCs w:val="20"/>
              </w:rPr>
            </w:pPr>
            <w:r>
              <w:rPr>
                <w:sz w:val="20"/>
                <w:szCs w:val="20"/>
              </w:rPr>
              <w:t xml:space="preserve">Distributed to the different programs based on estimates provided by the auditors to audit each program and the expense for the public housing program will be distributed based on the number of units </w:t>
            </w:r>
          </w:p>
        </w:tc>
      </w:tr>
      <w:tr w:rsidR="006C01B1" w:rsidTr="00F106E2">
        <w:trPr>
          <w:trHeight w:val="1268"/>
        </w:trPr>
        <w:tc>
          <w:tcPr>
            <w:tcW w:w="3432" w:type="dxa"/>
            <w:vAlign w:val="center"/>
          </w:tcPr>
          <w:p w:rsidR="006C01B1" w:rsidRDefault="006C01B1" w:rsidP="007B765E">
            <w:pPr>
              <w:pStyle w:val="Default"/>
              <w:contextualSpacing/>
              <w:jc w:val="both"/>
              <w:rPr>
                <w:sz w:val="20"/>
                <w:szCs w:val="20"/>
              </w:rPr>
            </w:pPr>
            <w:r>
              <w:rPr>
                <w:sz w:val="20"/>
                <w:szCs w:val="20"/>
              </w:rPr>
              <w:t xml:space="preserve">Telephone </w:t>
            </w:r>
          </w:p>
        </w:tc>
        <w:tc>
          <w:tcPr>
            <w:tcW w:w="3432" w:type="dxa"/>
            <w:vAlign w:val="center"/>
          </w:tcPr>
          <w:p w:rsidR="006C01B1" w:rsidRDefault="006C01B1" w:rsidP="007B765E">
            <w:pPr>
              <w:pStyle w:val="Default"/>
              <w:contextualSpacing/>
              <w:jc w:val="both"/>
              <w:rPr>
                <w:sz w:val="20"/>
                <w:szCs w:val="20"/>
              </w:rPr>
            </w:pPr>
            <w:r>
              <w:rPr>
                <w:sz w:val="20"/>
                <w:szCs w:val="20"/>
              </w:rPr>
              <w:t xml:space="preserve">Telephone costs for the authority. If bills can be broken out and associated with a given project the project will be charged those costs directly. </w:t>
            </w:r>
          </w:p>
        </w:tc>
        <w:tc>
          <w:tcPr>
            <w:tcW w:w="3432" w:type="dxa"/>
            <w:vAlign w:val="center"/>
          </w:tcPr>
          <w:p w:rsidR="006C01B1" w:rsidRDefault="006C01B1" w:rsidP="007B765E">
            <w:pPr>
              <w:pStyle w:val="Default"/>
              <w:contextualSpacing/>
              <w:jc w:val="both"/>
              <w:rPr>
                <w:sz w:val="20"/>
                <w:szCs w:val="20"/>
              </w:rPr>
            </w:pPr>
            <w:r>
              <w:rPr>
                <w:sz w:val="20"/>
                <w:szCs w:val="20"/>
              </w:rPr>
              <w:t xml:space="preserve">If bills cannot be broken out the telephone expense will be distributed among all programs based on the number of phones used for each program </w:t>
            </w:r>
          </w:p>
        </w:tc>
      </w:tr>
      <w:tr w:rsidR="00E11251" w:rsidTr="00F106E2">
        <w:trPr>
          <w:trHeight w:val="359"/>
        </w:trPr>
        <w:tc>
          <w:tcPr>
            <w:tcW w:w="3432" w:type="dxa"/>
            <w:vAlign w:val="center"/>
          </w:tcPr>
          <w:p w:rsidR="00E11251" w:rsidRDefault="00E11251" w:rsidP="007B765E">
            <w:pPr>
              <w:pStyle w:val="Default"/>
              <w:contextualSpacing/>
              <w:jc w:val="both"/>
              <w:rPr>
                <w:sz w:val="20"/>
                <w:szCs w:val="20"/>
              </w:rPr>
            </w:pPr>
            <w:r>
              <w:rPr>
                <w:sz w:val="20"/>
                <w:szCs w:val="20"/>
              </w:rPr>
              <w:t xml:space="preserve">Sundry Expense </w:t>
            </w:r>
          </w:p>
        </w:tc>
        <w:tc>
          <w:tcPr>
            <w:tcW w:w="3432" w:type="dxa"/>
            <w:vAlign w:val="center"/>
          </w:tcPr>
          <w:p w:rsidR="00E11251" w:rsidRDefault="00E11251" w:rsidP="007B765E">
            <w:pPr>
              <w:pStyle w:val="Default"/>
              <w:contextualSpacing/>
              <w:jc w:val="both"/>
              <w:rPr>
                <w:sz w:val="20"/>
                <w:szCs w:val="20"/>
              </w:rPr>
            </w:pPr>
            <w:r>
              <w:rPr>
                <w:sz w:val="20"/>
                <w:szCs w:val="20"/>
              </w:rPr>
              <w:t xml:space="preserve">Agency wide sundry expenses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r w:rsidR="00E11251" w:rsidTr="00F106E2">
        <w:trPr>
          <w:trHeight w:val="1322"/>
        </w:trPr>
        <w:tc>
          <w:tcPr>
            <w:tcW w:w="3432" w:type="dxa"/>
            <w:vAlign w:val="center"/>
          </w:tcPr>
          <w:p w:rsidR="00E11251" w:rsidRDefault="00E11251" w:rsidP="007B765E">
            <w:pPr>
              <w:pStyle w:val="Default"/>
              <w:contextualSpacing/>
              <w:jc w:val="both"/>
              <w:rPr>
                <w:sz w:val="20"/>
                <w:szCs w:val="20"/>
              </w:rPr>
            </w:pPr>
            <w:r>
              <w:rPr>
                <w:sz w:val="20"/>
                <w:szCs w:val="20"/>
              </w:rPr>
              <w:t xml:space="preserve">Utilities </w:t>
            </w:r>
          </w:p>
        </w:tc>
        <w:tc>
          <w:tcPr>
            <w:tcW w:w="3432" w:type="dxa"/>
            <w:vAlign w:val="center"/>
          </w:tcPr>
          <w:p w:rsidR="00E11251" w:rsidRDefault="00E11251" w:rsidP="007B765E">
            <w:pPr>
              <w:pStyle w:val="Default"/>
              <w:contextualSpacing/>
              <w:jc w:val="both"/>
              <w:rPr>
                <w:sz w:val="20"/>
                <w:szCs w:val="20"/>
              </w:rPr>
            </w:pPr>
            <w:r>
              <w:rPr>
                <w:sz w:val="20"/>
                <w:szCs w:val="20"/>
              </w:rPr>
              <w:t xml:space="preserve">Any utility costs associated with the operation of the central office or a centralized maintenance building will be charged to the central office cost center.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r w:rsidR="00E11251" w:rsidTr="00F106E2">
        <w:trPr>
          <w:trHeight w:val="809"/>
        </w:trPr>
        <w:tc>
          <w:tcPr>
            <w:tcW w:w="3432" w:type="dxa"/>
            <w:vAlign w:val="center"/>
          </w:tcPr>
          <w:p w:rsidR="00E11251" w:rsidRDefault="00E11251" w:rsidP="007B765E">
            <w:pPr>
              <w:pStyle w:val="Default"/>
              <w:contextualSpacing/>
              <w:jc w:val="both"/>
              <w:rPr>
                <w:sz w:val="20"/>
                <w:szCs w:val="20"/>
              </w:rPr>
            </w:pPr>
            <w:r>
              <w:rPr>
                <w:sz w:val="20"/>
                <w:szCs w:val="20"/>
              </w:rPr>
              <w:t xml:space="preserve">Maintenance Labor </w:t>
            </w:r>
          </w:p>
        </w:tc>
        <w:tc>
          <w:tcPr>
            <w:tcW w:w="3432" w:type="dxa"/>
            <w:vAlign w:val="center"/>
          </w:tcPr>
          <w:p w:rsidR="00E11251" w:rsidRDefault="00E11251" w:rsidP="007B765E">
            <w:pPr>
              <w:pStyle w:val="Default"/>
              <w:contextualSpacing/>
              <w:jc w:val="both"/>
              <w:rPr>
                <w:sz w:val="20"/>
                <w:szCs w:val="20"/>
              </w:rPr>
            </w:pPr>
            <w:r>
              <w:rPr>
                <w:sz w:val="20"/>
                <w:szCs w:val="20"/>
              </w:rPr>
              <w:t xml:space="preserve">Any time spent at the central office by maintenance staff will be charged to the central office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r w:rsidR="00E11251" w:rsidTr="00F106E2">
        <w:trPr>
          <w:trHeight w:val="530"/>
        </w:trPr>
        <w:tc>
          <w:tcPr>
            <w:tcW w:w="3432" w:type="dxa"/>
            <w:vAlign w:val="center"/>
          </w:tcPr>
          <w:p w:rsidR="00E11251" w:rsidRDefault="00E11251" w:rsidP="007B765E">
            <w:pPr>
              <w:pStyle w:val="Default"/>
              <w:contextualSpacing/>
              <w:jc w:val="both"/>
              <w:rPr>
                <w:sz w:val="20"/>
                <w:szCs w:val="20"/>
              </w:rPr>
            </w:pPr>
            <w:r>
              <w:rPr>
                <w:sz w:val="20"/>
                <w:szCs w:val="20"/>
              </w:rPr>
              <w:t xml:space="preserve">Maintenance Materials </w:t>
            </w:r>
          </w:p>
        </w:tc>
        <w:tc>
          <w:tcPr>
            <w:tcW w:w="3432" w:type="dxa"/>
            <w:vAlign w:val="center"/>
          </w:tcPr>
          <w:p w:rsidR="00E11251" w:rsidRDefault="00E11251" w:rsidP="007B765E">
            <w:pPr>
              <w:pStyle w:val="Default"/>
              <w:contextualSpacing/>
              <w:jc w:val="both"/>
              <w:rPr>
                <w:sz w:val="20"/>
                <w:szCs w:val="20"/>
              </w:rPr>
            </w:pPr>
            <w:r>
              <w:rPr>
                <w:sz w:val="20"/>
                <w:szCs w:val="20"/>
              </w:rPr>
              <w:t xml:space="preserve">Any materials used at the central office will charged directly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r w:rsidR="00E11251" w:rsidTr="00F106E2">
        <w:trPr>
          <w:trHeight w:val="791"/>
        </w:trPr>
        <w:tc>
          <w:tcPr>
            <w:tcW w:w="3432" w:type="dxa"/>
            <w:vAlign w:val="center"/>
          </w:tcPr>
          <w:p w:rsidR="00E11251" w:rsidRDefault="00E11251" w:rsidP="007B765E">
            <w:pPr>
              <w:pStyle w:val="Default"/>
              <w:contextualSpacing/>
              <w:jc w:val="both"/>
              <w:rPr>
                <w:sz w:val="20"/>
                <w:szCs w:val="20"/>
              </w:rPr>
            </w:pPr>
            <w:r>
              <w:rPr>
                <w:sz w:val="20"/>
                <w:szCs w:val="20"/>
              </w:rPr>
              <w:lastRenderedPageBreak/>
              <w:t xml:space="preserve">Contract Costs </w:t>
            </w:r>
          </w:p>
        </w:tc>
        <w:tc>
          <w:tcPr>
            <w:tcW w:w="3432" w:type="dxa"/>
            <w:vAlign w:val="center"/>
          </w:tcPr>
          <w:p w:rsidR="00E11251" w:rsidRDefault="00E11251" w:rsidP="007B765E">
            <w:pPr>
              <w:pStyle w:val="Default"/>
              <w:contextualSpacing/>
              <w:jc w:val="both"/>
              <w:rPr>
                <w:sz w:val="20"/>
                <w:szCs w:val="20"/>
              </w:rPr>
            </w:pPr>
            <w:r>
              <w:rPr>
                <w:sz w:val="20"/>
                <w:szCs w:val="20"/>
              </w:rPr>
              <w:t xml:space="preserve">Contract costs not related to a specific program will be charged to the central office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r w:rsidR="00E11251" w:rsidTr="00F106E2">
        <w:trPr>
          <w:trHeight w:val="1979"/>
        </w:trPr>
        <w:tc>
          <w:tcPr>
            <w:tcW w:w="3432" w:type="dxa"/>
            <w:vAlign w:val="center"/>
          </w:tcPr>
          <w:p w:rsidR="00E11251" w:rsidRDefault="00E11251" w:rsidP="007B765E">
            <w:pPr>
              <w:pStyle w:val="Default"/>
              <w:contextualSpacing/>
              <w:jc w:val="both"/>
              <w:rPr>
                <w:sz w:val="20"/>
                <w:szCs w:val="20"/>
              </w:rPr>
            </w:pPr>
            <w:r>
              <w:rPr>
                <w:sz w:val="20"/>
                <w:szCs w:val="20"/>
              </w:rPr>
              <w:t xml:space="preserve">Insurance Costs </w:t>
            </w:r>
          </w:p>
        </w:tc>
        <w:tc>
          <w:tcPr>
            <w:tcW w:w="3432" w:type="dxa"/>
            <w:vAlign w:val="center"/>
          </w:tcPr>
          <w:p w:rsidR="00E11251" w:rsidRDefault="00E11251" w:rsidP="007B765E">
            <w:pPr>
              <w:pStyle w:val="Default"/>
              <w:contextualSpacing/>
              <w:jc w:val="both"/>
              <w:rPr>
                <w:sz w:val="20"/>
                <w:szCs w:val="20"/>
              </w:rPr>
            </w:pPr>
            <w:r>
              <w:rPr>
                <w:sz w:val="20"/>
                <w:szCs w:val="20"/>
              </w:rPr>
              <w:t xml:space="preserve">Any insurance costs associated with the operation of the central office or otherwise not directly attributable to any program should be charged to the central office. Auto insurance is charged based on where the employee who uses the car is charged </w:t>
            </w:r>
          </w:p>
        </w:tc>
        <w:tc>
          <w:tcPr>
            <w:tcW w:w="3432" w:type="dxa"/>
            <w:vAlign w:val="center"/>
          </w:tcPr>
          <w:p w:rsidR="00E11251" w:rsidRDefault="00E11251" w:rsidP="007B765E">
            <w:pPr>
              <w:pStyle w:val="Default"/>
              <w:contextualSpacing/>
              <w:jc w:val="both"/>
              <w:rPr>
                <w:sz w:val="20"/>
                <w:szCs w:val="20"/>
              </w:rPr>
            </w:pPr>
            <w:r>
              <w:rPr>
                <w:sz w:val="20"/>
                <w:szCs w:val="20"/>
              </w:rPr>
              <w:t xml:space="preserve">Direct charge to the COCC </w:t>
            </w:r>
          </w:p>
        </w:tc>
      </w:tr>
    </w:tbl>
    <w:p w:rsidR="006C01B1" w:rsidRDefault="006C01B1" w:rsidP="007B765E">
      <w:pPr>
        <w:pStyle w:val="Default"/>
        <w:contextualSpacing/>
        <w:jc w:val="both"/>
      </w:pPr>
    </w:p>
    <w:p w:rsidR="00F106E2" w:rsidRPr="006C01B1" w:rsidRDefault="00F106E2" w:rsidP="007B765E">
      <w:pPr>
        <w:pStyle w:val="Default"/>
        <w:contextualSpacing/>
        <w:jc w:val="both"/>
      </w:pPr>
    </w:p>
    <w:p w:rsidR="00F31AAD" w:rsidRPr="00E11251" w:rsidRDefault="00A30969" w:rsidP="00496E27">
      <w:pPr>
        <w:pStyle w:val="Header2"/>
      </w:pPr>
      <w:bookmarkStart w:id="17" w:name="_Toc266699074"/>
      <w:r w:rsidRPr="00E11251">
        <w:t xml:space="preserve">B. </w:t>
      </w:r>
      <w:r w:rsidR="00E11251" w:rsidRPr="00E11251">
        <w:tab/>
      </w:r>
      <w:r w:rsidRPr="00E11251">
        <w:t>Central Office Cost Center – Income</w:t>
      </w:r>
      <w:bookmarkEnd w:id="17"/>
    </w:p>
    <w:p w:rsidR="00E11251" w:rsidRDefault="00E11251" w:rsidP="007B765E">
      <w:pPr>
        <w:pStyle w:val="CM32"/>
        <w:ind w:left="1080" w:hanging="360"/>
        <w:contextualSpacing/>
        <w:jc w:val="both"/>
      </w:pPr>
    </w:p>
    <w:p w:rsidR="0088679C" w:rsidRDefault="00A30969" w:rsidP="007B765E">
      <w:pPr>
        <w:pStyle w:val="CM32"/>
        <w:ind w:left="720"/>
        <w:contextualSpacing/>
        <w:jc w:val="both"/>
      </w:pPr>
      <w:r w:rsidRPr="00126658">
        <w:t>Central office expenses are funded through fees charged to the differe</w:t>
      </w:r>
      <w:r w:rsidR="00E11251">
        <w:t xml:space="preserve">nt programs </w:t>
      </w:r>
      <w:r w:rsidRPr="00126658">
        <w:t xml:space="preserve">operated by HATT. The following table lists the different income sources for the HATT central office cost center. </w:t>
      </w:r>
    </w:p>
    <w:p w:rsidR="007B765E" w:rsidRPr="007B765E" w:rsidRDefault="007B765E" w:rsidP="007B765E">
      <w:pPr>
        <w:pStyle w:val="Default"/>
      </w:pPr>
    </w:p>
    <w:p w:rsidR="0088679C" w:rsidRPr="0088679C" w:rsidRDefault="0088679C" w:rsidP="007B765E">
      <w:pPr>
        <w:pStyle w:val="Default"/>
        <w:contextualSpacing/>
        <w:jc w:val="both"/>
      </w:pPr>
    </w:p>
    <w:tbl>
      <w:tblPr>
        <w:tblStyle w:val="TableGrid"/>
        <w:tblW w:w="0" w:type="auto"/>
        <w:tblLook w:val="04A0"/>
      </w:tblPr>
      <w:tblGrid>
        <w:gridCol w:w="2898"/>
        <w:gridCol w:w="2970"/>
        <w:gridCol w:w="4410"/>
      </w:tblGrid>
      <w:tr w:rsidR="0088679C" w:rsidTr="0027583D">
        <w:tc>
          <w:tcPr>
            <w:tcW w:w="2898"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Program </w:t>
            </w:r>
          </w:p>
        </w:tc>
        <w:tc>
          <w:tcPr>
            <w:tcW w:w="2970"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Fee </w:t>
            </w:r>
          </w:p>
        </w:tc>
        <w:tc>
          <w:tcPr>
            <w:tcW w:w="4410"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Description </w:t>
            </w:r>
          </w:p>
        </w:tc>
      </w:tr>
      <w:tr w:rsidR="0088679C" w:rsidTr="0027583D">
        <w:trPr>
          <w:trHeight w:val="917"/>
        </w:trPr>
        <w:tc>
          <w:tcPr>
            <w:tcW w:w="2898" w:type="dxa"/>
            <w:vAlign w:val="center"/>
          </w:tcPr>
          <w:p w:rsidR="0088679C" w:rsidRDefault="0088679C" w:rsidP="007B765E">
            <w:pPr>
              <w:pStyle w:val="Default"/>
              <w:contextualSpacing/>
              <w:jc w:val="both"/>
              <w:rPr>
                <w:sz w:val="20"/>
                <w:szCs w:val="20"/>
              </w:rPr>
            </w:pPr>
            <w:r>
              <w:rPr>
                <w:sz w:val="20"/>
                <w:szCs w:val="20"/>
              </w:rPr>
              <w:t xml:space="preserve">Public Housing </w:t>
            </w:r>
          </w:p>
        </w:tc>
        <w:tc>
          <w:tcPr>
            <w:tcW w:w="2970" w:type="dxa"/>
            <w:vAlign w:val="center"/>
          </w:tcPr>
          <w:p w:rsidR="0088679C" w:rsidRDefault="0088679C" w:rsidP="007B765E">
            <w:pPr>
              <w:pStyle w:val="Default"/>
              <w:contextualSpacing/>
              <w:jc w:val="both"/>
              <w:rPr>
                <w:sz w:val="20"/>
                <w:szCs w:val="20"/>
              </w:rPr>
            </w:pPr>
            <w:r>
              <w:rPr>
                <w:sz w:val="20"/>
                <w:szCs w:val="20"/>
              </w:rPr>
              <w:t xml:space="preserve">Property Management Fee </w:t>
            </w:r>
          </w:p>
        </w:tc>
        <w:tc>
          <w:tcPr>
            <w:tcW w:w="4410" w:type="dxa"/>
            <w:vAlign w:val="center"/>
          </w:tcPr>
          <w:p w:rsidR="0088679C" w:rsidRDefault="0088679C" w:rsidP="007B765E">
            <w:pPr>
              <w:pStyle w:val="Default"/>
              <w:contextualSpacing/>
              <w:jc w:val="both"/>
              <w:rPr>
                <w:sz w:val="20"/>
                <w:szCs w:val="20"/>
              </w:rPr>
            </w:pPr>
            <w:r>
              <w:rPr>
                <w:sz w:val="20"/>
                <w:szCs w:val="20"/>
              </w:rPr>
              <w:t xml:space="preserve">HATT charges each public housing AMP a $42.94 </w:t>
            </w:r>
            <w:r w:rsidR="0027583D">
              <w:rPr>
                <w:sz w:val="20"/>
                <w:szCs w:val="20"/>
              </w:rPr>
              <w:t>Per Unit Month (</w:t>
            </w:r>
            <w:r>
              <w:rPr>
                <w:sz w:val="20"/>
                <w:szCs w:val="20"/>
              </w:rPr>
              <w:t>PUM</w:t>
            </w:r>
            <w:r w:rsidR="0027583D">
              <w:rPr>
                <w:sz w:val="20"/>
                <w:szCs w:val="20"/>
              </w:rPr>
              <w:t>)</w:t>
            </w:r>
            <w:r>
              <w:rPr>
                <w:sz w:val="20"/>
                <w:szCs w:val="20"/>
              </w:rPr>
              <w:t xml:space="preserve"> charge for each eligible unit </w:t>
            </w:r>
          </w:p>
        </w:tc>
      </w:tr>
      <w:tr w:rsidR="0088679C" w:rsidTr="0027583D">
        <w:trPr>
          <w:trHeight w:val="719"/>
        </w:trPr>
        <w:tc>
          <w:tcPr>
            <w:tcW w:w="2898" w:type="dxa"/>
            <w:vAlign w:val="center"/>
          </w:tcPr>
          <w:p w:rsidR="0088679C" w:rsidRDefault="0088679C" w:rsidP="007B765E">
            <w:pPr>
              <w:pStyle w:val="Default"/>
              <w:contextualSpacing/>
              <w:jc w:val="both"/>
              <w:rPr>
                <w:color w:val="auto"/>
              </w:rPr>
            </w:pPr>
          </w:p>
        </w:tc>
        <w:tc>
          <w:tcPr>
            <w:tcW w:w="2970" w:type="dxa"/>
            <w:vAlign w:val="center"/>
          </w:tcPr>
          <w:p w:rsidR="0088679C" w:rsidRDefault="0088679C" w:rsidP="007B765E">
            <w:pPr>
              <w:pStyle w:val="Default"/>
              <w:contextualSpacing/>
              <w:jc w:val="both"/>
              <w:rPr>
                <w:sz w:val="20"/>
                <w:szCs w:val="20"/>
              </w:rPr>
            </w:pPr>
            <w:r>
              <w:rPr>
                <w:sz w:val="20"/>
                <w:szCs w:val="20"/>
              </w:rPr>
              <w:t xml:space="preserve">Bookkeeping Fee </w:t>
            </w:r>
          </w:p>
        </w:tc>
        <w:tc>
          <w:tcPr>
            <w:tcW w:w="4410" w:type="dxa"/>
            <w:vAlign w:val="center"/>
          </w:tcPr>
          <w:p w:rsidR="0088679C" w:rsidRDefault="0088679C" w:rsidP="007B765E">
            <w:pPr>
              <w:pStyle w:val="Default"/>
              <w:contextualSpacing/>
              <w:jc w:val="both"/>
              <w:rPr>
                <w:sz w:val="20"/>
                <w:szCs w:val="20"/>
              </w:rPr>
            </w:pPr>
            <w:r>
              <w:rPr>
                <w:sz w:val="20"/>
                <w:szCs w:val="20"/>
              </w:rPr>
              <w:t xml:space="preserve">HATT charges each public housing AMP a $7.50 PUM charge for each eligible unit </w:t>
            </w:r>
          </w:p>
        </w:tc>
      </w:tr>
      <w:tr w:rsidR="0088679C" w:rsidTr="0027583D">
        <w:trPr>
          <w:trHeight w:val="1502"/>
        </w:trPr>
        <w:tc>
          <w:tcPr>
            <w:tcW w:w="2898" w:type="dxa"/>
            <w:vAlign w:val="center"/>
          </w:tcPr>
          <w:p w:rsidR="0088679C" w:rsidRDefault="0088679C" w:rsidP="007B765E">
            <w:pPr>
              <w:pStyle w:val="Default"/>
              <w:contextualSpacing/>
              <w:jc w:val="both"/>
              <w:rPr>
                <w:color w:val="auto"/>
              </w:rPr>
            </w:pPr>
          </w:p>
        </w:tc>
        <w:tc>
          <w:tcPr>
            <w:tcW w:w="2970" w:type="dxa"/>
            <w:vAlign w:val="center"/>
          </w:tcPr>
          <w:p w:rsidR="0088679C" w:rsidRDefault="0088679C" w:rsidP="007B765E">
            <w:pPr>
              <w:pStyle w:val="Default"/>
              <w:contextualSpacing/>
              <w:jc w:val="both"/>
              <w:rPr>
                <w:sz w:val="20"/>
                <w:szCs w:val="20"/>
              </w:rPr>
            </w:pPr>
            <w:r>
              <w:rPr>
                <w:sz w:val="20"/>
                <w:szCs w:val="20"/>
              </w:rPr>
              <w:t xml:space="preserve">Asset Management Fee </w:t>
            </w:r>
          </w:p>
        </w:tc>
        <w:tc>
          <w:tcPr>
            <w:tcW w:w="4410" w:type="dxa"/>
            <w:vAlign w:val="center"/>
          </w:tcPr>
          <w:p w:rsidR="0088679C" w:rsidRDefault="0088679C" w:rsidP="007B765E">
            <w:pPr>
              <w:pStyle w:val="Default"/>
              <w:contextualSpacing/>
              <w:jc w:val="both"/>
              <w:rPr>
                <w:sz w:val="20"/>
                <w:szCs w:val="20"/>
              </w:rPr>
            </w:pPr>
            <w:r>
              <w:rPr>
                <w:sz w:val="20"/>
                <w:szCs w:val="20"/>
              </w:rPr>
              <w:t>If the public housing AMP is meeting all the necessary cash flow requirements HATT will charge the AMP an asset management fee between $4-</w:t>
            </w:r>
            <w:r>
              <w:rPr>
                <w:sz w:val="20"/>
                <w:szCs w:val="20"/>
              </w:rPr>
              <w:softHyphen/>
              <w:t xml:space="preserve">$10 PUM based on what the AMP can afford </w:t>
            </w:r>
          </w:p>
        </w:tc>
      </w:tr>
      <w:tr w:rsidR="0088679C" w:rsidTr="0027583D">
        <w:trPr>
          <w:trHeight w:val="809"/>
        </w:trPr>
        <w:tc>
          <w:tcPr>
            <w:tcW w:w="2898" w:type="dxa"/>
            <w:vAlign w:val="center"/>
          </w:tcPr>
          <w:p w:rsidR="0088679C" w:rsidRDefault="0088679C" w:rsidP="007B765E">
            <w:pPr>
              <w:pStyle w:val="Default"/>
              <w:contextualSpacing/>
              <w:jc w:val="both"/>
              <w:rPr>
                <w:sz w:val="20"/>
                <w:szCs w:val="20"/>
              </w:rPr>
            </w:pPr>
            <w:r>
              <w:rPr>
                <w:sz w:val="20"/>
                <w:szCs w:val="20"/>
              </w:rPr>
              <w:t xml:space="preserve">Capital Fund </w:t>
            </w:r>
          </w:p>
        </w:tc>
        <w:tc>
          <w:tcPr>
            <w:tcW w:w="2970" w:type="dxa"/>
            <w:vAlign w:val="center"/>
          </w:tcPr>
          <w:p w:rsidR="0088679C" w:rsidRDefault="0088679C" w:rsidP="007B765E">
            <w:pPr>
              <w:pStyle w:val="Default"/>
              <w:contextualSpacing/>
              <w:jc w:val="both"/>
              <w:rPr>
                <w:sz w:val="20"/>
                <w:szCs w:val="20"/>
              </w:rPr>
            </w:pPr>
            <w:r>
              <w:rPr>
                <w:sz w:val="20"/>
                <w:szCs w:val="20"/>
              </w:rPr>
              <w:t xml:space="preserve">10% of total grant amount </w:t>
            </w:r>
          </w:p>
        </w:tc>
        <w:tc>
          <w:tcPr>
            <w:tcW w:w="4410" w:type="dxa"/>
            <w:vAlign w:val="center"/>
          </w:tcPr>
          <w:p w:rsidR="0088679C" w:rsidRDefault="0088679C" w:rsidP="007B765E">
            <w:pPr>
              <w:pStyle w:val="Default"/>
              <w:contextualSpacing/>
              <w:jc w:val="both"/>
              <w:rPr>
                <w:sz w:val="20"/>
                <w:szCs w:val="20"/>
              </w:rPr>
            </w:pPr>
            <w:r>
              <w:rPr>
                <w:sz w:val="20"/>
                <w:szCs w:val="20"/>
              </w:rPr>
              <w:t xml:space="preserve">HATT takes 10% of the total capital grant amount under BLI 1410 for central office operations </w:t>
            </w:r>
          </w:p>
        </w:tc>
      </w:tr>
      <w:tr w:rsidR="0088679C" w:rsidTr="0027583D">
        <w:trPr>
          <w:trHeight w:val="791"/>
        </w:trPr>
        <w:tc>
          <w:tcPr>
            <w:tcW w:w="2898" w:type="dxa"/>
            <w:vAlign w:val="center"/>
          </w:tcPr>
          <w:p w:rsidR="0088679C" w:rsidRDefault="0088679C" w:rsidP="007B765E">
            <w:pPr>
              <w:pStyle w:val="Default"/>
              <w:contextualSpacing/>
              <w:jc w:val="both"/>
              <w:rPr>
                <w:sz w:val="20"/>
                <w:szCs w:val="20"/>
              </w:rPr>
            </w:pPr>
            <w:r>
              <w:rPr>
                <w:sz w:val="20"/>
                <w:szCs w:val="20"/>
              </w:rPr>
              <w:t xml:space="preserve">Section 8 Administration Fee </w:t>
            </w:r>
          </w:p>
        </w:tc>
        <w:tc>
          <w:tcPr>
            <w:tcW w:w="2970" w:type="dxa"/>
            <w:vAlign w:val="center"/>
          </w:tcPr>
          <w:p w:rsidR="0088679C" w:rsidRDefault="0088679C" w:rsidP="007B765E">
            <w:pPr>
              <w:pStyle w:val="Default"/>
              <w:contextualSpacing/>
              <w:jc w:val="both"/>
              <w:rPr>
                <w:sz w:val="20"/>
                <w:szCs w:val="20"/>
              </w:rPr>
            </w:pPr>
            <w:r>
              <w:rPr>
                <w:sz w:val="20"/>
                <w:szCs w:val="20"/>
              </w:rPr>
              <w:t xml:space="preserve">$12 PUM </w:t>
            </w:r>
          </w:p>
        </w:tc>
        <w:tc>
          <w:tcPr>
            <w:tcW w:w="4410" w:type="dxa"/>
            <w:vAlign w:val="center"/>
          </w:tcPr>
          <w:p w:rsidR="0088679C" w:rsidRDefault="0088679C" w:rsidP="007B765E">
            <w:pPr>
              <w:pStyle w:val="Default"/>
              <w:contextualSpacing/>
              <w:jc w:val="both"/>
              <w:rPr>
                <w:sz w:val="20"/>
                <w:szCs w:val="20"/>
              </w:rPr>
            </w:pPr>
            <w:r>
              <w:rPr>
                <w:sz w:val="20"/>
                <w:szCs w:val="20"/>
              </w:rPr>
              <w:t xml:space="preserve">HATT charges the HCV program $43,632 for administrative oversight of the program </w:t>
            </w:r>
          </w:p>
        </w:tc>
      </w:tr>
    </w:tbl>
    <w:p w:rsidR="0088679C" w:rsidRPr="0088679C" w:rsidRDefault="0088679C" w:rsidP="007B765E">
      <w:pPr>
        <w:pStyle w:val="Default"/>
        <w:contextualSpacing/>
        <w:jc w:val="both"/>
      </w:pPr>
    </w:p>
    <w:p w:rsidR="002405A4" w:rsidRPr="00126658" w:rsidRDefault="002405A4" w:rsidP="007B765E">
      <w:pPr>
        <w:pStyle w:val="Default"/>
        <w:contextualSpacing/>
        <w:jc w:val="both"/>
      </w:pPr>
    </w:p>
    <w:p w:rsidR="00D461C3" w:rsidRDefault="00A30969" w:rsidP="00496E27">
      <w:pPr>
        <w:pStyle w:val="Header2"/>
      </w:pPr>
      <w:bookmarkStart w:id="18" w:name="_Toc266699075"/>
      <w:r w:rsidRPr="00126658">
        <w:t xml:space="preserve">C. </w:t>
      </w:r>
      <w:r w:rsidR="00E11251">
        <w:tab/>
      </w:r>
      <w:r w:rsidRPr="00126658">
        <w:t>Public Housing – AMP Expenses</w:t>
      </w:r>
      <w:bookmarkEnd w:id="18"/>
      <w:r w:rsidRPr="00126658">
        <w:t xml:space="preserve"> </w:t>
      </w:r>
    </w:p>
    <w:p w:rsidR="00CE10FC" w:rsidRPr="00126658" w:rsidRDefault="00CE10FC" w:rsidP="007B765E">
      <w:pPr>
        <w:pStyle w:val="Style2"/>
        <w:spacing w:after="0" w:line="240" w:lineRule="auto"/>
        <w:contextualSpacing/>
        <w:jc w:val="both"/>
      </w:pPr>
    </w:p>
    <w:p w:rsidR="0088679C" w:rsidRDefault="0088679C" w:rsidP="007B765E">
      <w:pPr>
        <w:pStyle w:val="CM31"/>
        <w:ind w:left="1080" w:hanging="360"/>
        <w:contextualSpacing/>
        <w:jc w:val="both"/>
      </w:pPr>
      <w:r>
        <w:t>1.</w:t>
      </w:r>
      <w:r>
        <w:tab/>
      </w:r>
      <w:r w:rsidR="00A30969" w:rsidRPr="00126658">
        <w:t>Expenses can be charged to an AMP in three differen</w:t>
      </w:r>
      <w:r w:rsidR="00F26B6C" w:rsidRPr="00126658">
        <w:t>t ways</w:t>
      </w:r>
      <w:r w:rsidR="000140CE" w:rsidRPr="00126658">
        <w:t xml:space="preserve">: </w:t>
      </w:r>
      <w:r w:rsidR="00F26B6C" w:rsidRPr="00126658">
        <w:t>direct charge, pro</w:t>
      </w:r>
      <w:r w:rsidR="00145206" w:rsidRPr="00126658">
        <w:t xml:space="preserve"> </w:t>
      </w:r>
      <w:r w:rsidR="00F26B6C" w:rsidRPr="00126658">
        <w:softHyphen/>
        <w:t xml:space="preserve">rata </w:t>
      </w:r>
      <w:r w:rsidR="00A30969" w:rsidRPr="00126658">
        <w:t>and fee</w:t>
      </w:r>
      <w:r w:rsidR="00A30969" w:rsidRPr="00126658">
        <w:softHyphen/>
      </w:r>
      <w:r w:rsidR="00145206" w:rsidRPr="00126658">
        <w:t xml:space="preserve"> </w:t>
      </w:r>
      <w:r w:rsidR="00A30969" w:rsidRPr="00126658">
        <w:t>for</w:t>
      </w:r>
      <w:r w:rsidR="00A30969" w:rsidRPr="00126658">
        <w:softHyphen/>
      </w:r>
      <w:r w:rsidR="00145206" w:rsidRPr="00126658">
        <w:t xml:space="preserve"> </w:t>
      </w:r>
      <w:r w:rsidR="00A30969" w:rsidRPr="00126658">
        <w:t>service</w:t>
      </w:r>
      <w:r>
        <w:t>.</w:t>
      </w:r>
    </w:p>
    <w:p w:rsidR="002405A4" w:rsidRPr="00126658" w:rsidRDefault="00A30969" w:rsidP="007B765E">
      <w:pPr>
        <w:pStyle w:val="CM31"/>
        <w:ind w:left="1080" w:hanging="360"/>
        <w:contextualSpacing/>
        <w:jc w:val="both"/>
      </w:pPr>
      <w:r w:rsidRPr="00126658">
        <w:t xml:space="preserve"> </w:t>
      </w:r>
    </w:p>
    <w:p w:rsidR="0088679C" w:rsidRDefault="00A30969" w:rsidP="003F3717">
      <w:pPr>
        <w:pStyle w:val="CM31"/>
        <w:numPr>
          <w:ilvl w:val="2"/>
          <w:numId w:val="5"/>
        </w:numPr>
        <w:tabs>
          <w:tab w:val="left" w:pos="1440"/>
        </w:tabs>
        <w:ind w:left="1440" w:hanging="360"/>
        <w:contextualSpacing/>
        <w:jc w:val="both"/>
      </w:pPr>
      <w:r w:rsidRPr="00126658">
        <w:t>Direct charge – an electricity bill or the maintenance person who works at a given AMP would be an example of a direct charge</w:t>
      </w:r>
      <w:r w:rsidR="007B765E">
        <w:t>.</w:t>
      </w:r>
      <w:r w:rsidRPr="00126658">
        <w:t xml:space="preserve"> </w:t>
      </w:r>
    </w:p>
    <w:p w:rsidR="0088679C" w:rsidRPr="0088679C" w:rsidRDefault="0088679C" w:rsidP="007B765E">
      <w:pPr>
        <w:pStyle w:val="Default"/>
        <w:contextualSpacing/>
        <w:jc w:val="both"/>
      </w:pPr>
    </w:p>
    <w:p w:rsidR="0088679C" w:rsidRDefault="00A30969" w:rsidP="003F3717">
      <w:pPr>
        <w:pStyle w:val="CM31"/>
        <w:numPr>
          <w:ilvl w:val="2"/>
          <w:numId w:val="5"/>
        </w:numPr>
        <w:tabs>
          <w:tab w:val="left" w:pos="1440"/>
        </w:tabs>
        <w:ind w:left="1440" w:hanging="360"/>
        <w:contextualSpacing/>
        <w:jc w:val="both"/>
      </w:pPr>
      <w:r w:rsidRPr="00126658">
        <w:lastRenderedPageBreak/>
        <w:t>Pro</w:t>
      </w:r>
      <w:r w:rsidR="007B765E">
        <w:t xml:space="preserve"> </w:t>
      </w:r>
      <w:r w:rsidRPr="00126658">
        <w:softHyphen/>
        <w:t>rata – an asset manager who shares time across multiple AMPs or a centrally located occupancy staff member are examples of people who will be charged pro</w:t>
      </w:r>
      <w:r w:rsidRPr="00126658">
        <w:softHyphen/>
      </w:r>
      <w:r w:rsidR="007B765E">
        <w:t xml:space="preserve"> </w:t>
      </w:r>
      <w:r w:rsidRPr="00126658">
        <w:t>rata</w:t>
      </w:r>
      <w:r w:rsidR="007B765E">
        <w:t>.</w:t>
      </w:r>
    </w:p>
    <w:p w:rsidR="0088679C" w:rsidRDefault="00A30969" w:rsidP="007B765E">
      <w:pPr>
        <w:pStyle w:val="CM31"/>
        <w:tabs>
          <w:tab w:val="left" w:pos="1440"/>
        </w:tabs>
        <w:ind w:left="1440"/>
        <w:contextualSpacing/>
        <w:jc w:val="both"/>
      </w:pPr>
      <w:r w:rsidRPr="00126658">
        <w:t xml:space="preserve"> </w:t>
      </w:r>
    </w:p>
    <w:p w:rsidR="00D461C3" w:rsidRPr="00126658" w:rsidRDefault="00A30969" w:rsidP="003F3717">
      <w:pPr>
        <w:pStyle w:val="CM31"/>
        <w:numPr>
          <w:ilvl w:val="2"/>
          <w:numId w:val="5"/>
        </w:numPr>
        <w:tabs>
          <w:tab w:val="left" w:pos="1440"/>
        </w:tabs>
        <w:ind w:left="1440" w:hanging="360"/>
        <w:contextualSpacing/>
        <w:jc w:val="both"/>
      </w:pPr>
      <w:r w:rsidRPr="00126658">
        <w:t>Fee</w:t>
      </w:r>
      <w:r w:rsidR="00316664" w:rsidRPr="00126658">
        <w:t xml:space="preserve"> </w:t>
      </w:r>
      <w:r w:rsidRPr="00126658">
        <w:softHyphen/>
        <w:t>for</w:t>
      </w:r>
      <w:r w:rsidRPr="00126658">
        <w:softHyphen/>
      </w:r>
      <w:r w:rsidR="00316664" w:rsidRPr="00126658">
        <w:t xml:space="preserve"> </w:t>
      </w:r>
      <w:r w:rsidRPr="00126658">
        <w:t>service – a fee</w:t>
      </w:r>
      <w:r w:rsidRPr="00126658">
        <w:softHyphen/>
      </w:r>
      <w:r w:rsidR="00316664" w:rsidRPr="00126658">
        <w:t xml:space="preserve"> </w:t>
      </w:r>
      <w:r w:rsidRPr="00126658">
        <w:t>for</w:t>
      </w:r>
      <w:r w:rsidRPr="00126658">
        <w:softHyphen/>
      </w:r>
      <w:r w:rsidR="00316664" w:rsidRPr="00126658">
        <w:t xml:space="preserve"> </w:t>
      </w:r>
      <w:r w:rsidRPr="00126658">
        <w:t>service charge in public housing is assessed by the COCC to an AMP for a front</w:t>
      </w:r>
      <w:r w:rsidRPr="00126658">
        <w:softHyphen/>
        <w:t>line service provided to the AMP by a centralized employee. Currently HATT does not use the fee</w:t>
      </w:r>
      <w:r w:rsidR="00316664" w:rsidRPr="00126658">
        <w:t xml:space="preserve"> </w:t>
      </w:r>
      <w:r w:rsidRPr="00126658">
        <w:softHyphen/>
        <w:t>for</w:t>
      </w:r>
      <w:r w:rsidRPr="00126658">
        <w:softHyphen/>
      </w:r>
      <w:r w:rsidR="00316664" w:rsidRPr="00126658">
        <w:t xml:space="preserve"> </w:t>
      </w:r>
      <w:r w:rsidRPr="00126658">
        <w:t xml:space="preserve">service approach for any public housing employees. </w:t>
      </w:r>
    </w:p>
    <w:p w:rsidR="00D461C3" w:rsidRPr="00126658" w:rsidRDefault="00D461C3" w:rsidP="007B765E">
      <w:pPr>
        <w:pStyle w:val="Default"/>
        <w:ind w:left="1260" w:hanging="180"/>
        <w:contextualSpacing/>
        <w:jc w:val="both"/>
        <w:rPr>
          <w:color w:val="auto"/>
        </w:rPr>
      </w:pPr>
    </w:p>
    <w:p w:rsidR="00D461C3" w:rsidRDefault="00CE10FC" w:rsidP="003F3717">
      <w:pPr>
        <w:pStyle w:val="CM30"/>
        <w:numPr>
          <w:ilvl w:val="0"/>
          <w:numId w:val="5"/>
        </w:numPr>
        <w:ind w:left="1080"/>
        <w:contextualSpacing/>
        <w:jc w:val="both"/>
      </w:pPr>
      <w:r>
        <w:t>F</w:t>
      </w:r>
      <w:r w:rsidR="00A30969" w:rsidRPr="00126658">
        <w:t>ollowing is a list of employees charged directly to each AMP. If the title is listed as having less than 1 full</w:t>
      </w:r>
      <w:r w:rsidR="00A30969" w:rsidRPr="00126658">
        <w:softHyphen/>
        <w:t>time employee [i.e. (1/2)] that title is shared with another AMP. In that case the expense for that position should be pro</w:t>
      </w:r>
      <w:r w:rsidR="00A30969" w:rsidRPr="00126658">
        <w:softHyphen/>
        <w:t xml:space="preserve">rated across all AMPs it covers based on the number of units at each AMP. </w:t>
      </w:r>
    </w:p>
    <w:p w:rsidR="007B765E" w:rsidRPr="007B765E" w:rsidRDefault="007B765E" w:rsidP="007B765E">
      <w:pPr>
        <w:pStyle w:val="Default"/>
      </w:pPr>
    </w:p>
    <w:p w:rsidR="0088679C" w:rsidRDefault="0088679C" w:rsidP="007B765E">
      <w:pPr>
        <w:pStyle w:val="Default"/>
        <w:contextualSpacing/>
        <w:jc w:val="both"/>
      </w:pPr>
    </w:p>
    <w:tbl>
      <w:tblPr>
        <w:tblStyle w:val="TableGrid"/>
        <w:tblW w:w="0" w:type="auto"/>
        <w:tblInd w:w="1818" w:type="dxa"/>
        <w:tblLook w:val="04A0"/>
      </w:tblPr>
      <w:tblGrid>
        <w:gridCol w:w="2430"/>
        <w:gridCol w:w="5040"/>
      </w:tblGrid>
      <w:tr w:rsidR="0088679C" w:rsidTr="007B765E">
        <w:tc>
          <w:tcPr>
            <w:tcW w:w="2430"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AMP </w:t>
            </w:r>
          </w:p>
        </w:tc>
        <w:tc>
          <w:tcPr>
            <w:tcW w:w="5040"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Title </w:t>
            </w:r>
          </w:p>
        </w:tc>
      </w:tr>
      <w:tr w:rsidR="0088679C" w:rsidTr="007B765E">
        <w:trPr>
          <w:trHeight w:val="286"/>
        </w:trPr>
        <w:tc>
          <w:tcPr>
            <w:tcW w:w="2430" w:type="dxa"/>
            <w:vAlign w:val="center"/>
          </w:tcPr>
          <w:p w:rsidR="0088679C" w:rsidRDefault="0088679C" w:rsidP="007B765E">
            <w:pPr>
              <w:pStyle w:val="Default"/>
              <w:contextualSpacing/>
              <w:rPr>
                <w:sz w:val="20"/>
                <w:szCs w:val="20"/>
              </w:rPr>
            </w:pPr>
            <w:r>
              <w:rPr>
                <w:sz w:val="20"/>
                <w:szCs w:val="20"/>
              </w:rPr>
              <w:t>AMP 112 &amp; 689</w:t>
            </w:r>
          </w:p>
        </w:tc>
        <w:tc>
          <w:tcPr>
            <w:tcW w:w="5040" w:type="dxa"/>
            <w:vAlign w:val="center"/>
          </w:tcPr>
          <w:p w:rsidR="0088679C" w:rsidRDefault="0088679C" w:rsidP="007B765E">
            <w:pPr>
              <w:pStyle w:val="Default"/>
              <w:contextualSpacing/>
              <w:rPr>
                <w:sz w:val="20"/>
                <w:szCs w:val="20"/>
              </w:rPr>
            </w:pPr>
            <w:r>
              <w:rPr>
                <w:sz w:val="20"/>
                <w:szCs w:val="20"/>
              </w:rPr>
              <w:t xml:space="preserve">Property Manager </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Mechanic A</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Mechanic B</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Maintenance Aide A</w:t>
            </w:r>
          </w:p>
        </w:tc>
      </w:tr>
      <w:tr w:rsidR="0088679C" w:rsidTr="007B765E">
        <w:trPr>
          <w:trHeight w:val="286"/>
        </w:trPr>
        <w:tc>
          <w:tcPr>
            <w:tcW w:w="2430" w:type="dxa"/>
            <w:vAlign w:val="center"/>
          </w:tcPr>
          <w:p w:rsidR="0088679C" w:rsidRDefault="0088679C" w:rsidP="007B765E">
            <w:pPr>
              <w:pStyle w:val="Default"/>
              <w:contextualSpacing/>
              <w:rPr>
                <w:sz w:val="20"/>
                <w:szCs w:val="20"/>
              </w:rPr>
            </w:pPr>
            <w:r>
              <w:rPr>
                <w:sz w:val="20"/>
                <w:szCs w:val="20"/>
              </w:rPr>
              <w:t xml:space="preserve">AMP 025 </w:t>
            </w:r>
          </w:p>
        </w:tc>
        <w:tc>
          <w:tcPr>
            <w:tcW w:w="5040" w:type="dxa"/>
            <w:vAlign w:val="center"/>
          </w:tcPr>
          <w:p w:rsidR="0088679C" w:rsidRDefault="0088679C" w:rsidP="007B765E">
            <w:pPr>
              <w:pStyle w:val="Default"/>
              <w:contextualSpacing/>
              <w:rPr>
                <w:sz w:val="20"/>
                <w:szCs w:val="20"/>
              </w:rPr>
            </w:pPr>
            <w:r>
              <w:rPr>
                <w:sz w:val="20"/>
                <w:szCs w:val="20"/>
              </w:rPr>
              <w:t xml:space="preserve">Property Manager </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Mechanic B (2)</w:t>
            </w:r>
          </w:p>
        </w:tc>
      </w:tr>
      <w:tr w:rsidR="0088679C" w:rsidTr="007B765E">
        <w:trPr>
          <w:trHeight w:val="286"/>
        </w:trPr>
        <w:tc>
          <w:tcPr>
            <w:tcW w:w="2430" w:type="dxa"/>
            <w:vAlign w:val="center"/>
          </w:tcPr>
          <w:p w:rsidR="0088679C" w:rsidRDefault="0088679C" w:rsidP="007B765E">
            <w:pPr>
              <w:pStyle w:val="Default"/>
              <w:contextualSpacing/>
              <w:rPr>
                <w:sz w:val="20"/>
                <w:szCs w:val="20"/>
              </w:rPr>
            </w:pPr>
            <w:r>
              <w:rPr>
                <w:sz w:val="20"/>
                <w:szCs w:val="20"/>
              </w:rPr>
              <w:t xml:space="preserve">AMP 037 </w:t>
            </w:r>
          </w:p>
        </w:tc>
        <w:tc>
          <w:tcPr>
            <w:tcW w:w="5040" w:type="dxa"/>
            <w:vAlign w:val="center"/>
          </w:tcPr>
          <w:p w:rsidR="0088679C" w:rsidRDefault="0088679C" w:rsidP="007B765E">
            <w:pPr>
              <w:pStyle w:val="Default"/>
              <w:contextualSpacing/>
              <w:rPr>
                <w:sz w:val="20"/>
                <w:szCs w:val="20"/>
              </w:rPr>
            </w:pPr>
            <w:r>
              <w:rPr>
                <w:sz w:val="20"/>
                <w:szCs w:val="20"/>
              </w:rPr>
              <w:t xml:space="preserve">Property Manager </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 xml:space="preserve">Mechanic A </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sz w:val="20"/>
                <w:szCs w:val="20"/>
              </w:rPr>
            </w:pPr>
            <w:r>
              <w:rPr>
                <w:sz w:val="20"/>
                <w:szCs w:val="20"/>
              </w:rPr>
              <w:t xml:space="preserve">Mechanic B </w:t>
            </w:r>
          </w:p>
        </w:tc>
      </w:tr>
      <w:tr w:rsidR="0088679C" w:rsidTr="007B765E">
        <w:trPr>
          <w:trHeight w:val="286"/>
        </w:trPr>
        <w:tc>
          <w:tcPr>
            <w:tcW w:w="2430" w:type="dxa"/>
            <w:vAlign w:val="center"/>
          </w:tcPr>
          <w:p w:rsidR="0088679C" w:rsidRDefault="0088679C" w:rsidP="007B765E">
            <w:pPr>
              <w:pStyle w:val="Default"/>
              <w:contextualSpacing/>
              <w:rPr>
                <w:color w:val="auto"/>
              </w:rPr>
            </w:pPr>
          </w:p>
        </w:tc>
        <w:tc>
          <w:tcPr>
            <w:tcW w:w="5040" w:type="dxa"/>
            <w:vAlign w:val="center"/>
          </w:tcPr>
          <w:p w:rsidR="0088679C" w:rsidRDefault="0088679C" w:rsidP="007B765E">
            <w:pPr>
              <w:pStyle w:val="Default"/>
              <w:contextualSpacing/>
              <w:rPr>
                <w:color w:val="auto"/>
              </w:rPr>
            </w:pPr>
            <w:r>
              <w:rPr>
                <w:sz w:val="20"/>
                <w:szCs w:val="20"/>
              </w:rPr>
              <w:t>Maintenance Aide A</w:t>
            </w:r>
          </w:p>
        </w:tc>
      </w:tr>
    </w:tbl>
    <w:p w:rsidR="0088679C" w:rsidRDefault="0088679C" w:rsidP="007B765E">
      <w:pPr>
        <w:pStyle w:val="Default"/>
        <w:contextualSpacing/>
        <w:jc w:val="both"/>
      </w:pPr>
    </w:p>
    <w:p w:rsidR="007B765E" w:rsidRPr="0088679C" w:rsidRDefault="007B765E" w:rsidP="007B765E">
      <w:pPr>
        <w:pStyle w:val="Default"/>
        <w:contextualSpacing/>
        <w:jc w:val="both"/>
      </w:pPr>
    </w:p>
    <w:p w:rsidR="007B765E" w:rsidRDefault="00A30969" w:rsidP="003F3717">
      <w:pPr>
        <w:pStyle w:val="CM32"/>
        <w:numPr>
          <w:ilvl w:val="0"/>
          <w:numId w:val="5"/>
        </w:numPr>
        <w:ind w:left="1080"/>
        <w:contextualSpacing/>
        <w:jc w:val="both"/>
      </w:pPr>
      <w:r w:rsidRPr="00126658">
        <w:t>Following is a list of employees pro</w:t>
      </w:r>
      <w:r w:rsidRPr="00126658">
        <w:softHyphen/>
        <w:t>rated to all AMPs as well as the methodology used to pro</w:t>
      </w:r>
      <w:r w:rsidRPr="00126658">
        <w:softHyphen/>
        <w:t>rate the cost</w:t>
      </w:r>
      <w:r w:rsidR="007B765E">
        <w:t>.</w:t>
      </w:r>
    </w:p>
    <w:p w:rsidR="00D461C3" w:rsidRPr="00126658" w:rsidRDefault="00A30969" w:rsidP="007B765E">
      <w:pPr>
        <w:pStyle w:val="CM32"/>
        <w:ind w:left="1080"/>
        <w:contextualSpacing/>
        <w:jc w:val="both"/>
      </w:pPr>
      <w:r w:rsidRPr="00126658">
        <w:t xml:space="preserve"> </w:t>
      </w:r>
    </w:p>
    <w:p w:rsidR="00145206" w:rsidRPr="00126658" w:rsidRDefault="00145206" w:rsidP="007B765E">
      <w:pPr>
        <w:pStyle w:val="Default"/>
        <w:contextualSpacing/>
        <w:jc w:val="both"/>
      </w:pPr>
    </w:p>
    <w:tbl>
      <w:tblPr>
        <w:tblStyle w:val="TableGrid"/>
        <w:tblW w:w="10278" w:type="dxa"/>
        <w:tblInd w:w="18" w:type="dxa"/>
        <w:tblLook w:val="04A0"/>
      </w:tblPr>
      <w:tblGrid>
        <w:gridCol w:w="5130"/>
        <w:gridCol w:w="5148"/>
      </w:tblGrid>
      <w:tr w:rsidR="0088679C" w:rsidTr="007B765E">
        <w:tc>
          <w:tcPr>
            <w:tcW w:w="5130"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 xml:space="preserve">Title </w:t>
            </w:r>
          </w:p>
        </w:tc>
        <w:tc>
          <w:tcPr>
            <w:tcW w:w="5148" w:type="dxa"/>
            <w:shd w:val="clear" w:color="auto" w:fill="D9D9D9" w:themeFill="background1" w:themeFillShade="D9"/>
            <w:vAlign w:val="center"/>
          </w:tcPr>
          <w:p w:rsidR="0088679C" w:rsidRDefault="0088679C" w:rsidP="007B765E">
            <w:pPr>
              <w:pStyle w:val="Default"/>
              <w:contextualSpacing/>
              <w:jc w:val="both"/>
              <w:rPr>
                <w:sz w:val="20"/>
                <w:szCs w:val="20"/>
              </w:rPr>
            </w:pPr>
            <w:r>
              <w:rPr>
                <w:sz w:val="20"/>
                <w:szCs w:val="20"/>
              </w:rPr>
              <w:t>Pro</w:t>
            </w:r>
            <w:r>
              <w:rPr>
                <w:sz w:val="20"/>
                <w:szCs w:val="20"/>
              </w:rPr>
              <w:softHyphen/>
              <w:t xml:space="preserve">ration Methodology </w:t>
            </w:r>
          </w:p>
        </w:tc>
      </w:tr>
      <w:tr w:rsidR="0088679C" w:rsidTr="007B765E">
        <w:trPr>
          <w:trHeight w:val="314"/>
        </w:trPr>
        <w:tc>
          <w:tcPr>
            <w:tcW w:w="5130" w:type="dxa"/>
            <w:vAlign w:val="center"/>
          </w:tcPr>
          <w:p w:rsidR="0088679C" w:rsidRDefault="007B765E" w:rsidP="007B765E">
            <w:pPr>
              <w:pStyle w:val="Default"/>
              <w:contextualSpacing/>
              <w:rPr>
                <w:sz w:val="20"/>
                <w:szCs w:val="20"/>
              </w:rPr>
            </w:pPr>
            <w:r>
              <w:rPr>
                <w:sz w:val="20"/>
                <w:szCs w:val="20"/>
              </w:rPr>
              <w:t>Admissions</w:t>
            </w:r>
            <w:r w:rsidR="0088679C">
              <w:rPr>
                <w:sz w:val="20"/>
                <w:szCs w:val="20"/>
              </w:rPr>
              <w:t xml:space="preserve"> Specialist (Occupancy Duties) </w:t>
            </w:r>
          </w:p>
        </w:tc>
        <w:tc>
          <w:tcPr>
            <w:tcW w:w="5148" w:type="dxa"/>
            <w:vAlign w:val="center"/>
          </w:tcPr>
          <w:p w:rsidR="0088679C" w:rsidRDefault="0088679C" w:rsidP="007B765E">
            <w:pPr>
              <w:pStyle w:val="Default"/>
              <w:contextualSpacing/>
              <w:rPr>
                <w:sz w:val="20"/>
                <w:szCs w:val="20"/>
              </w:rPr>
            </w:pPr>
            <w:r>
              <w:rPr>
                <w:sz w:val="20"/>
                <w:szCs w:val="20"/>
              </w:rPr>
              <w:t>Pro</w:t>
            </w:r>
            <w:r>
              <w:rPr>
                <w:sz w:val="20"/>
                <w:szCs w:val="20"/>
              </w:rPr>
              <w:softHyphen/>
              <w:t xml:space="preserve">rated to all AMPs based on the number of units </w:t>
            </w:r>
          </w:p>
        </w:tc>
      </w:tr>
      <w:tr w:rsidR="0088679C" w:rsidTr="007B765E">
        <w:trPr>
          <w:trHeight w:val="341"/>
        </w:trPr>
        <w:tc>
          <w:tcPr>
            <w:tcW w:w="5130" w:type="dxa"/>
            <w:vAlign w:val="center"/>
          </w:tcPr>
          <w:p w:rsidR="0088679C" w:rsidRDefault="0088679C" w:rsidP="007B765E">
            <w:pPr>
              <w:pStyle w:val="Default"/>
              <w:contextualSpacing/>
              <w:rPr>
                <w:sz w:val="20"/>
                <w:szCs w:val="20"/>
              </w:rPr>
            </w:pPr>
            <w:r>
              <w:rPr>
                <w:sz w:val="20"/>
                <w:szCs w:val="20"/>
              </w:rPr>
              <w:t xml:space="preserve">Mechanic A (HVAC) </w:t>
            </w:r>
          </w:p>
        </w:tc>
        <w:tc>
          <w:tcPr>
            <w:tcW w:w="5148" w:type="dxa"/>
            <w:vAlign w:val="center"/>
          </w:tcPr>
          <w:p w:rsidR="0088679C" w:rsidRDefault="0088679C" w:rsidP="007B765E">
            <w:pPr>
              <w:pStyle w:val="Default"/>
              <w:contextualSpacing/>
              <w:rPr>
                <w:sz w:val="20"/>
                <w:szCs w:val="20"/>
              </w:rPr>
            </w:pPr>
            <w:r>
              <w:rPr>
                <w:sz w:val="20"/>
                <w:szCs w:val="20"/>
              </w:rPr>
              <w:t>Pro</w:t>
            </w:r>
            <w:r>
              <w:rPr>
                <w:sz w:val="20"/>
                <w:szCs w:val="20"/>
              </w:rPr>
              <w:softHyphen/>
              <w:t xml:space="preserve">rated to all AMPs based on the number of units </w:t>
            </w:r>
          </w:p>
        </w:tc>
      </w:tr>
      <w:tr w:rsidR="0088679C" w:rsidTr="007B765E">
        <w:trPr>
          <w:trHeight w:val="341"/>
        </w:trPr>
        <w:tc>
          <w:tcPr>
            <w:tcW w:w="5130" w:type="dxa"/>
            <w:vAlign w:val="center"/>
          </w:tcPr>
          <w:p w:rsidR="0088679C" w:rsidRDefault="0088679C" w:rsidP="007B765E">
            <w:pPr>
              <w:pStyle w:val="Default"/>
              <w:contextualSpacing/>
              <w:rPr>
                <w:sz w:val="20"/>
                <w:szCs w:val="20"/>
              </w:rPr>
            </w:pPr>
            <w:r>
              <w:rPr>
                <w:sz w:val="20"/>
                <w:szCs w:val="20"/>
              </w:rPr>
              <w:t xml:space="preserve">Resident Services Specialist </w:t>
            </w:r>
          </w:p>
        </w:tc>
        <w:tc>
          <w:tcPr>
            <w:tcW w:w="5148" w:type="dxa"/>
            <w:vAlign w:val="center"/>
          </w:tcPr>
          <w:p w:rsidR="0088679C" w:rsidRDefault="0088679C" w:rsidP="007B765E">
            <w:pPr>
              <w:pStyle w:val="Default"/>
              <w:contextualSpacing/>
              <w:rPr>
                <w:sz w:val="20"/>
                <w:szCs w:val="20"/>
              </w:rPr>
            </w:pPr>
            <w:r>
              <w:rPr>
                <w:sz w:val="20"/>
                <w:szCs w:val="20"/>
              </w:rPr>
              <w:t>Pro</w:t>
            </w:r>
            <w:r>
              <w:rPr>
                <w:sz w:val="20"/>
                <w:szCs w:val="20"/>
              </w:rPr>
              <w:softHyphen/>
              <w:t xml:space="preserve">rated to all AMPs based on the number of units </w:t>
            </w:r>
          </w:p>
        </w:tc>
      </w:tr>
      <w:tr w:rsidR="0088679C" w:rsidTr="007B765E">
        <w:trPr>
          <w:trHeight w:val="350"/>
        </w:trPr>
        <w:tc>
          <w:tcPr>
            <w:tcW w:w="5130" w:type="dxa"/>
            <w:vAlign w:val="center"/>
          </w:tcPr>
          <w:p w:rsidR="0088679C" w:rsidRDefault="0088679C" w:rsidP="007B765E">
            <w:pPr>
              <w:pStyle w:val="Default"/>
              <w:contextualSpacing/>
              <w:rPr>
                <w:sz w:val="20"/>
                <w:szCs w:val="20"/>
              </w:rPr>
            </w:pPr>
            <w:r>
              <w:rPr>
                <w:sz w:val="20"/>
                <w:szCs w:val="20"/>
              </w:rPr>
              <w:t xml:space="preserve">Maintenance/Modernization Clerk </w:t>
            </w:r>
          </w:p>
        </w:tc>
        <w:tc>
          <w:tcPr>
            <w:tcW w:w="5148" w:type="dxa"/>
            <w:vAlign w:val="center"/>
          </w:tcPr>
          <w:p w:rsidR="0088679C" w:rsidRDefault="0088679C" w:rsidP="007B765E">
            <w:pPr>
              <w:pStyle w:val="Default"/>
              <w:contextualSpacing/>
              <w:rPr>
                <w:sz w:val="20"/>
                <w:szCs w:val="20"/>
              </w:rPr>
            </w:pPr>
            <w:r>
              <w:rPr>
                <w:sz w:val="20"/>
                <w:szCs w:val="20"/>
              </w:rPr>
              <w:t>Pro</w:t>
            </w:r>
            <w:r>
              <w:rPr>
                <w:sz w:val="20"/>
                <w:szCs w:val="20"/>
              </w:rPr>
              <w:softHyphen/>
              <w:t xml:space="preserve">rated to all AMPs based on the number of units </w:t>
            </w:r>
          </w:p>
        </w:tc>
      </w:tr>
      <w:tr w:rsidR="0088679C" w:rsidTr="007B765E">
        <w:trPr>
          <w:trHeight w:val="791"/>
        </w:trPr>
        <w:tc>
          <w:tcPr>
            <w:tcW w:w="5130" w:type="dxa"/>
            <w:vAlign w:val="center"/>
          </w:tcPr>
          <w:p w:rsidR="0088679C" w:rsidRDefault="0088679C" w:rsidP="007B765E">
            <w:pPr>
              <w:pStyle w:val="Default"/>
              <w:contextualSpacing/>
              <w:rPr>
                <w:sz w:val="20"/>
                <w:szCs w:val="20"/>
              </w:rPr>
            </w:pPr>
            <w:r>
              <w:rPr>
                <w:sz w:val="20"/>
                <w:szCs w:val="20"/>
              </w:rPr>
              <w:t xml:space="preserve">Receptionist (40% of time spent on Application and Rent Collection;40% of time spent on HOPE VI Reception Duties; 20% of time spent on COCC reception duties) </w:t>
            </w:r>
          </w:p>
        </w:tc>
        <w:tc>
          <w:tcPr>
            <w:tcW w:w="5148" w:type="dxa"/>
            <w:vAlign w:val="center"/>
          </w:tcPr>
          <w:p w:rsidR="0088679C" w:rsidRDefault="0088679C" w:rsidP="007B765E">
            <w:pPr>
              <w:pStyle w:val="Default"/>
              <w:contextualSpacing/>
              <w:rPr>
                <w:sz w:val="20"/>
                <w:szCs w:val="20"/>
              </w:rPr>
            </w:pPr>
            <w:r>
              <w:rPr>
                <w:sz w:val="20"/>
                <w:szCs w:val="20"/>
              </w:rPr>
              <w:t>Pro</w:t>
            </w:r>
            <w:r>
              <w:rPr>
                <w:sz w:val="20"/>
                <w:szCs w:val="20"/>
              </w:rPr>
              <w:softHyphen/>
              <w:t xml:space="preserve">rated to all AMPs, HOPE VI, and COCC based on percentage of time used </w:t>
            </w:r>
          </w:p>
        </w:tc>
      </w:tr>
    </w:tbl>
    <w:p w:rsidR="00145206" w:rsidRDefault="00145206" w:rsidP="007B765E">
      <w:pPr>
        <w:pStyle w:val="Default"/>
        <w:contextualSpacing/>
        <w:jc w:val="both"/>
      </w:pPr>
    </w:p>
    <w:p w:rsidR="007B765E" w:rsidRDefault="007B765E" w:rsidP="007B765E">
      <w:pPr>
        <w:pStyle w:val="Default"/>
        <w:contextualSpacing/>
        <w:jc w:val="both"/>
      </w:pPr>
    </w:p>
    <w:p w:rsidR="00AF5959" w:rsidRDefault="00AF5959" w:rsidP="003F3717">
      <w:pPr>
        <w:pStyle w:val="Default"/>
        <w:numPr>
          <w:ilvl w:val="0"/>
          <w:numId w:val="5"/>
        </w:numPr>
        <w:ind w:left="1080"/>
        <w:jc w:val="both"/>
      </w:pPr>
      <w:r>
        <w:t>HATT attempts to track other administrative expenses at the AMP level but there are some cases where this is not possible. The following table shows examples of other administrative</w:t>
      </w:r>
      <w:r w:rsidR="00CE10FC">
        <w:t xml:space="preserve"> charges and how they a</w:t>
      </w:r>
      <w:r>
        <w:t>re charged at the AMP level.</w:t>
      </w:r>
    </w:p>
    <w:p w:rsidR="00AF5959" w:rsidRDefault="00AF5959" w:rsidP="007B765E">
      <w:pPr>
        <w:pStyle w:val="Default"/>
        <w:jc w:val="both"/>
      </w:pPr>
    </w:p>
    <w:p w:rsidR="007B765E" w:rsidRDefault="007B765E" w:rsidP="007B765E">
      <w:pPr>
        <w:pStyle w:val="Default"/>
        <w:jc w:val="both"/>
      </w:pPr>
    </w:p>
    <w:p w:rsidR="007B765E" w:rsidRPr="00AF5959" w:rsidRDefault="007B765E" w:rsidP="007B765E">
      <w:pPr>
        <w:pStyle w:val="Default"/>
        <w:jc w:val="both"/>
      </w:pPr>
    </w:p>
    <w:p w:rsidR="00145206" w:rsidRPr="00126658" w:rsidRDefault="00145206" w:rsidP="007B765E">
      <w:pPr>
        <w:pStyle w:val="CM20"/>
        <w:ind w:left="360" w:hanging="360"/>
        <w:contextualSpacing/>
        <w:jc w:val="both"/>
      </w:pPr>
    </w:p>
    <w:tbl>
      <w:tblPr>
        <w:tblStyle w:val="TableGrid"/>
        <w:tblW w:w="0" w:type="auto"/>
        <w:tblLook w:val="04A0"/>
      </w:tblPr>
      <w:tblGrid>
        <w:gridCol w:w="2628"/>
        <w:gridCol w:w="4230"/>
        <w:gridCol w:w="3432"/>
      </w:tblGrid>
      <w:tr w:rsidR="008D1462" w:rsidTr="009B62E1">
        <w:tc>
          <w:tcPr>
            <w:tcW w:w="2628" w:type="dxa"/>
            <w:shd w:val="clear" w:color="auto" w:fill="D9D9D9" w:themeFill="background1" w:themeFillShade="D9"/>
            <w:vAlign w:val="center"/>
          </w:tcPr>
          <w:p w:rsidR="008D1462" w:rsidRDefault="008D1462" w:rsidP="007B765E">
            <w:pPr>
              <w:pStyle w:val="Default"/>
              <w:contextualSpacing/>
              <w:jc w:val="both"/>
              <w:rPr>
                <w:sz w:val="20"/>
                <w:szCs w:val="20"/>
              </w:rPr>
            </w:pPr>
            <w:r>
              <w:rPr>
                <w:sz w:val="20"/>
                <w:szCs w:val="20"/>
              </w:rPr>
              <w:t xml:space="preserve">Cost </w:t>
            </w:r>
          </w:p>
        </w:tc>
        <w:tc>
          <w:tcPr>
            <w:tcW w:w="4230" w:type="dxa"/>
            <w:shd w:val="clear" w:color="auto" w:fill="D9D9D9" w:themeFill="background1" w:themeFillShade="D9"/>
            <w:vAlign w:val="center"/>
          </w:tcPr>
          <w:p w:rsidR="008D1462" w:rsidRDefault="008D1462" w:rsidP="007B765E">
            <w:pPr>
              <w:pStyle w:val="Default"/>
              <w:contextualSpacing/>
              <w:jc w:val="both"/>
              <w:rPr>
                <w:sz w:val="20"/>
                <w:szCs w:val="20"/>
              </w:rPr>
            </w:pPr>
            <w:r>
              <w:rPr>
                <w:sz w:val="20"/>
                <w:szCs w:val="20"/>
              </w:rPr>
              <w:t xml:space="preserve">Description </w:t>
            </w:r>
          </w:p>
        </w:tc>
        <w:tc>
          <w:tcPr>
            <w:tcW w:w="3432" w:type="dxa"/>
            <w:shd w:val="clear" w:color="auto" w:fill="D9D9D9" w:themeFill="background1" w:themeFillShade="D9"/>
            <w:vAlign w:val="center"/>
          </w:tcPr>
          <w:p w:rsidR="008D1462" w:rsidRDefault="008D1462" w:rsidP="007B765E">
            <w:pPr>
              <w:pStyle w:val="Default"/>
              <w:contextualSpacing/>
              <w:jc w:val="both"/>
              <w:rPr>
                <w:sz w:val="20"/>
                <w:szCs w:val="20"/>
              </w:rPr>
            </w:pPr>
            <w:r>
              <w:rPr>
                <w:sz w:val="20"/>
                <w:szCs w:val="20"/>
              </w:rPr>
              <w:t xml:space="preserve">Methodology </w:t>
            </w:r>
          </w:p>
        </w:tc>
      </w:tr>
      <w:tr w:rsidR="008D1462" w:rsidTr="009B62E1">
        <w:trPr>
          <w:trHeight w:val="548"/>
        </w:trPr>
        <w:tc>
          <w:tcPr>
            <w:tcW w:w="2628" w:type="dxa"/>
            <w:vAlign w:val="center"/>
          </w:tcPr>
          <w:p w:rsidR="008D1462" w:rsidRDefault="008D1462" w:rsidP="009B62E1">
            <w:pPr>
              <w:pStyle w:val="Default"/>
              <w:contextualSpacing/>
              <w:rPr>
                <w:sz w:val="20"/>
                <w:szCs w:val="20"/>
              </w:rPr>
            </w:pPr>
            <w:r>
              <w:rPr>
                <w:sz w:val="20"/>
                <w:szCs w:val="20"/>
              </w:rPr>
              <w:t xml:space="preserve">Audit </w:t>
            </w:r>
          </w:p>
        </w:tc>
        <w:tc>
          <w:tcPr>
            <w:tcW w:w="4230" w:type="dxa"/>
            <w:vAlign w:val="center"/>
          </w:tcPr>
          <w:p w:rsidR="008D1462" w:rsidRDefault="008D1462" w:rsidP="009B62E1">
            <w:pPr>
              <w:pStyle w:val="Default"/>
              <w:contextualSpacing/>
              <w:rPr>
                <w:sz w:val="20"/>
                <w:szCs w:val="20"/>
              </w:rPr>
            </w:pPr>
            <w:r>
              <w:rPr>
                <w:sz w:val="20"/>
                <w:szCs w:val="20"/>
              </w:rPr>
              <w:t xml:space="preserve">Costs associated with the audit of the public housing program </w:t>
            </w:r>
          </w:p>
        </w:tc>
        <w:tc>
          <w:tcPr>
            <w:tcW w:w="3432" w:type="dxa"/>
            <w:vAlign w:val="center"/>
          </w:tcPr>
          <w:p w:rsidR="008D1462" w:rsidRDefault="008D1462" w:rsidP="009B62E1">
            <w:pPr>
              <w:pStyle w:val="Default"/>
              <w:contextualSpacing/>
              <w:rPr>
                <w:sz w:val="20"/>
                <w:szCs w:val="20"/>
              </w:rPr>
            </w:pPr>
            <w:r>
              <w:rPr>
                <w:sz w:val="20"/>
                <w:szCs w:val="20"/>
              </w:rPr>
              <w:t>Pro</w:t>
            </w:r>
            <w:r>
              <w:rPr>
                <w:sz w:val="20"/>
                <w:szCs w:val="20"/>
              </w:rPr>
              <w:softHyphen/>
              <w:t xml:space="preserve">rated to the AMPs based on the number of units </w:t>
            </w:r>
          </w:p>
        </w:tc>
      </w:tr>
      <w:tr w:rsidR="008D1462" w:rsidTr="009B62E1">
        <w:trPr>
          <w:trHeight w:val="1268"/>
        </w:trPr>
        <w:tc>
          <w:tcPr>
            <w:tcW w:w="2628" w:type="dxa"/>
            <w:vAlign w:val="center"/>
          </w:tcPr>
          <w:p w:rsidR="008D1462" w:rsidRDefault="008D1462" w:rsidP="009B62E1">
            <w:pPr>
              <w:pStyle w:val="Default"/>
              <w:contextualSpacing/>
              <w:rPr>
                <w:sz w:val="20"/>
                <w:szCs w:val="20"/>
              </w:rPr>
            </w:pPr>
            <w:r>
              <w:rPr>
                <w:sz w:val="20"/>
                <w:szCs w:val="20"/>
              </w:rPr>
              <w:t xml:space="preserve">Legal </w:t>
            </w:r>
          </w:p>
        </w:tc>
        <w:tc>
          <w:tcPr>
            <w:tcW w:w="4230" w:type="dxa"/>
            <w:vAlign w:val="center"/>
          </w:tcPr>
          <w:p w:rsidR="008D1462" w:rsidRDefault="008D1462" w:rsidP="009B62E1">
            <w:pPr>
              <w:pStyle w:val="Default"/>
              <w:contextualSpacing/>
              <w:rPr>
                <w:sz w:val="20"/>
                <w:szCs w:val="20"/>
              </w:rPr>
            </w:pPr>
            <w:r>
              <w:rPr>
                <w:sz w:val="20"/>
                <w:szCs w:val="20"/>
              </w:rPr>
              <w:t xml:space="preserve">Cost associated with legal expenses for each AMP based on time spent by an attorney working on AMP based legal work as well as any court expenses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1232"/>
        </w:trPr>
        <w:tc>
          <w:tcPr>
            <w:tcW w:w="2628" w:type="dxa"/>
            <w:vAlign w:val="center"/>
          </w:tcPr>
          <w:p w:rsidR="008D1462" w:rsidRDefault="008D1462" w:rsidP="009B62E1">
            <w:pPr>
              <w:pStyle w:val="Default"/>
              <w:contextualSpacing/>
              <w:rPr>
                <w:sz w:val="20"/>
                <w:szCs w:val="20"/>
              </w:rPr>
            </w:pPr>
            <w:r>
              <w:rPr>
                <w:sz w:val="20"/>
                <w:szCs w:val="20"/>
              </w:rPr>
              <w:t xml:space="preserve">Telephone </w:t>
            </w:r>
          </w:p>
        </w:tc>
        <w:tc>
          <w:tcPr>
            <w:tcW w:w="4230" w:type="dxa"/>
            <w:vAlign w:val="center"/>
          </w:tcPr>
          <w:p w:rsidR="008D1462" w:rsidRDefault="008D1462" w:rsidP="009B62E1">
            <w:pPr>
              <w:pStyle w:val="Default"/>
              <w:contextualSpacing/>
              <w:rPr>
                <w:sz w:val="20"/>
                <w:szCs w:val="20"/>
              </w:rPr>
            </w:pPr>
            <w:r>
              <w:rPr>
                <w:sz w:val="20"/>
                <w:szCs w:val="20"/>
              </w:rPr>
              <w:t xml:space="preserve">Telephone costs for the authority. If bills can be broken out and associated with a given project the project will be charged those costs directly. </w:t>
            </w:r>
          </w:p>
        </w:tc>
        <w:tc>
          <w:tcPr>
            <w:tcW w:w="3432" w:type="dxa"/>
            <w:vAlign w:val="center"/>
          </w:tcPr>
          <w:p w:rsidR="008D1462" w:rsidRDefault="008D1462" w:rsidP="009B62E1">
            <w:pPr>
              <w:pStyle w:val="Default"/>
              <w:contextualSpacing/>
              <w:rPr>
                <w:sz w:val="20"/>
                <w:szCs w:val="20"/>
              </w:rPr>
            </w:pPr>
            <w:r>
              <w:rPr>
                <w:sz w:val="20"/>
                <w:szCs w:val="20"/>
              </w:rPr>
              <w:t xml:space="preserve">If bills cannot be broken down by AMP the telephone expense will be distributed among public housing based on the number of phones in use at each AMP </w:t>
            </w:r>
          </w:p>
        </w:tc>
      </w:tr>
      <w:tr w:rsidR="008D1462" w:rsidTr="009B62E1">
        <w:trPr>
          <w:trHeight w:val="359"/>
        </w:trPr>
        <w:tc>
          <w:tcPr>
            <w:tcW w:w="2628" w:type="dxa"/>
            <w:vAlign w:val="center"/>
          </w:tcPr>
          <w:p w:rsidR="008D1462" w:rsidRDefault="008D1462" w:rsidP="009B62E1">
            <w:pPr>
              <w:pStyle w:val="Default"/>
              <w:contextualSpacing/>
              <w:rPr>
                <w:sz w:val="20"/>
                <w:szCs w:val="20"/>
              </w:rPr>
            </w:pPr>
            <w:r>
              <w:rPr>
                <w:sz w:val="20"/>
                <w:szCs w:val="20"/>
              </w:rPr>
              <w:t xml:space="preserve">Sundry Expense </w:t>
            </w:r>
          </w:p>
        </w:tc>
        <w:tc>
          <w:tcPr>
            <w:tcW w:w="4230" w:type="dxa"/>
            <w:vAlign w:val="center"/>
          </w:tcPr>
          <w:p w:rsidR="008D1462" w:rsidRDefault="008D1462" w:rsidP="009B62E1">
            <w:pPr>
              <w:pStyle w:val="Default"/>
              <w:contextualSpacing/>
              <w:rPr>
                <w:sz w:val="20"/>
                <w:szCs w:val="20"/>
              </w:rPr>
            </w:pPr>
            <w:r>
              <w:rPr>
                <w:sz w:val="20"/>
                <w:szCs w:val="20"/>
              </w:rPr>
              <w:t xml:space="preserve">AMP based sundry expenses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341"/>
        </w:trPr>
        <w:tc>
          <w:tcPr>
            <w:tcW w:w="2628" w:type="dxa"/>
            <w:vAlign w:val="center"/>
          </w:tcPr>
          <w:p w:rsidR="008D1462" w:rsidRDefault="008D1462" w:rsidP="009B62E1">
            <w:pPr>
              <w:pStyle w:val="Default"/>
              <w:contextualSpacing/>
              <w:rPr>
                <w:sz w:val="20"/>
                <w:szCs w:val="20"/>
              </w:rPr>
            </w:pPr>
            <w:r>
              <w:rPr>
                <w:sz w:val="20"/>
                <w:szCs w:val="20"/>
              </w:rPr>
              <w:t xml:space="preserve">Utilities </w:t>
            </w:r>
          </w:p>
        </w:tc>
        <w:tc>
          <w:tcPr>
            <w:tcW w:w="4230" w:type="dxa"/>
            <w:vAlign w:val="center"/>
          </w:tcPr>
          <w:p w:rsidR="008D1462" w:rsidRDefault="008D1462" w:rsidP="009B62E1">
            <w:pPr>
              <w:pStyle w:val="Default"/>
              <w:contextualSpacing/>
              <w:rPr>
                <w:sz w:val="20"/>
                <w:szCs w:val="20"/>
              </w:rPr>
            </w:pPr>
            <w:r>
              <w:rPr>
                <w:sz w:val="20"/>
                <w:szCs w:val="20"/>
              </w:rPr>
              <w:t xml:space="preserve">AMP based utility costs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350"/>
        </w:trPr>
        <w:tc>
          <w:tcPr>
            <w:tcW w:w="2628" w:type="dxa"/>
            <w:vAlign w:val="center"/>
          </w:tcPr>
          <w:p w:rsidR="008D1462" w:rsidRDefault="008D1462" w:rsidP="009B62E1">
            <w:pPr>
              <w:pStyle w:val="Default"/>
              <w:contextualSpacing/>
              <w:rPr>
                <w:sz w:val="20"/>
                <w:szCs w:val="20"/>
              </w:rPr>
            </w:pPr>
            <w:r>
              <w:rPr>
                <w:sz w:val="20"/>
                <w:szCs w:val="20"/>
              </w:rPr>
              <w:t xml:space="preserve">Maintenance Materials </w:t>
            </w:r>
          </w:p>
        </w:tc>
        <w:tc>
          <w:tcPr>
            <w:tcW w:w="4230" w:type="dxa"/>
            <w:vAlign w:val="center"/>
          </w:tcPr>
          <w:p w:rsidR="008D1462" w:rsidRDefault="008D1462" w:rsidP="009B62E1">
            <w:pPr>
              <w:pStyle w:val="Default"/>
              <w:contextualSpacing/>
              <w:rPr>
                <w:sz w:val="20"/>
                <w:szCs w:val="20"/>
              </w:rPr>
            </w:pPr>
            <w:r>
              <w:rPr>
                <w:sz w:val="20"/>
                <w:szCs w:val="20"/>
              </w:rPr>
              <w:t xml:space="preserve">AMP maintenance materials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980"/>
        </w:trPr>
        <w:tc>
          <w:tcPr>
            <w:tcW w:w="2628" w:type="dxa"/>
            <w:vAlign w:val="center"/>
          </w:tcPr>
          <w:p w:rsidR="008D1462" w:rsidRDefault="008D1462" w:rsidP="009B62E1">
            <w:pPr>
              <w:pStyle w:val="Default"/>
              <w:contextualSpacing/>
              <w:rPr>
                <w:sz w:val="20"/>
                <w:szCs w:val="20"/>
              </w:rPr>
            </w:pPr>
            <w:r>
              <w:rPr>
                <w:sz w:val="20"/>
                <w:szCs w:val="20"/>
              </w:rPr>
              <w:t xml:space="preserve">Contract Costs </w:t>
            </w:r>
          </w:p>
        </w:tc>
        <w:tc>
          <w:tcPr>
            <w:tcW w:w="4230" w:type="dxa"/>
            <w:vAlign w:val="center"/>
          </w:tcPr>
          <w:p w:rsidR="008D1462" w:rsidRDefault="008D1462" w:rsidP="009B62E1">
            <w:pPr>
              <w:pStyle w:val="Default"/>
              <w:contextualSpacing/>
              <w:rPr>
                <w:sz w:val="20"/>
                <w:szCs w:val="20"/>
              </w:rPr>
            </w:pPr>
            <w:r>
              <w:rPr>
                <w:sz w:val="20"/>
                <w:szCs w:val="20"/>
              </w:rPr>
              <w:t xml:space="preserve">Contract costs, when possible, are tracked at the AMP level. If not feasible, the cost will be prorated to the AMPs using the service. </w:t>
            </w:r>
          </w:p>
        </w:tc>
        <w:tc>
          <w:tcPr>
            <w:tcW w:w="3432" w:type="dxa"/>
            <w:vAlign w:val="center"/>
          </w:tcPr>
          <w:p w:rsidR="008D1462" w:rsidRDefault="008D1462" w:rsidP="009B62E1">
            <w:pPr>
              <w:pStyle w:val="Default"/>
              <w:contextualSpacing/>
              <w:rPr>
                <w:sz w:val="20"/>
                <w:szCs w:val="20"/>
              </w:rPr>
            </w:pPr>
            <w:r>
              <w:rPr>
                <w:sz w:val="20"/>
                <w:szCs w:val="20"/>
              </w:rPr>
              <w:t xml:space="preserve">Direct charge or prorate to the AMPs based on the number of units </w:t>
            </w:r>
          </w:p>
        </w:tc>
      </w:tr>
      <w:tr w:rsidR="008D1462" w:rsidTr="009B62E1">
        <w:trPr>
          <w:trHeight w:val="809"/>
        </w:trPr>
        <w:tc>
          <w:tcPr>
            <w:tcW w:w="2628" w:type="dxa"/>
            <w:vAlign w:val="center"/>
          </w:tcPr>
          <w:p w:rsidR="008D1462" w:rsidRDefault="008D1462" w:rsidP="009B62E1">
            <w:pPr>
              <w:pStyle w:val="Default"/>
              <w:contextualSpacing/>
              <w:rPr>
                <w:sz w:val="20"/>
                <w:szCs w:val="20"/>
              </w:rPr>
            </w:pPr>
            <w:r>
              <w:rPr>
                <w:sz w:val="20"/>
                <w:szCs w:val="20"/>
              </w:rPr>
              <w:t xml:space="preserve">PILOT </w:t>
            </w:r>
          </w:p>
        </w:tc>
        <w:tc>
          <w:tcPr>
            <w:tcW w:w="4230" w:type="dxa"/>
            <w:vAlign w:val="center"/>
          </w:tcPr>
          <w:p w:rsidR="008D1462" w:rsidRDefault="008D1462" w:rsidP="009B62E1">
            <w:pPr>
              <w:pStyle w:val="Default"/>
              <w:contextualSpacing/>
              <w:rPr>
                <w:sz w:val="20"/>
                <w:szCs w:val="20"/>
              </w:rPr>
            </w:pPr>
            <w:r>
              <w:rPr>
                <w:sz w:val="20"/>
                <w:szCs w:val="20"/>
              </w:rPr>
              <w:t xml:space="preserve">Expense associated with the payment in lieu of taxes for each individual AMP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602"/>
        </w:trPr>
        <w:tc>
          <w:tcPr>
            <w:tcW w:w="2628" w:type="dxa"/>
            <w:vAlign w:val="center"/>
          </w:tcPr>
          <w:p w:rsidR="008D1462" w:rsidRDefault="008D1462" w:rsidP="009B62E1">
            <w:pPr>
              <w:pStyle w:val="Default"/>
              <w:contextualSpacing/>
              <w:rPr>
                <w:sz w:val="20"/>
                <w:szCs w:val="20"/>
              </w:rPr>
            </w:pPr>
            <w:r>
              <w:rPr>
                <w:sz w:val="20"/>
                <w:szCs w:val="20"/>
              </w:rPr>
              <w:t xml:space="preserve">Insurance Costs </w:t>
            </w:r>
          </w:p>
        </w:tc>
        <w:tc>
          <w:tcPr>
            <w:tcW w:w="4230" w:type="dxa"/>
            <w:vAlign w:val="center"/>
          </w:tcPr>
          <w:p w:rsidR="008D1462" w:rsidRDefault="008D1462" w:rsidP="009B62E1">
            <w:pPr>
              <w:pStyle w:val="Default"/>
              <w:contextualSpacing/>
              <w:rPr>
                <w:sz w:val="20"/>
                <w:szCs w:val="20"/>
              </w:rPr>
            </w:pPr>
            <w:r>
              <w:rPr>
                <w:sz w:val="20"/>
                <w:szCs w:val="20"/>
              </w:rPr>
              <w:t xml:space="preserve">Insurance costs are tracked and charged at the AMP level. </w:t>
            </w:r>
          </w:p>
        </w:tc>
        <w:tc>
          <w:tcPr>
            <w:tcW w:w="3432" w:type="dxa"/>
            <w:vAlign w:val="center"/>
          </w:tcPr>
          <w:p w:rsidR="008D1462" w:rsidRDefault="008D1462" w:rsidP="009B62E1">
            <w:pPr>
              <w:pStyle w:val="Default"/>
              <w:contextualSpacing/>
              <w:rPr>
                <w:sz w:val="20"/>
                <w:szCs w:val="20"/>
              </w:rPr>
            </w:pPr>
            <w:r>
              <w:rPr>
                <w:sz w:val="20"/>
                <w:szCs w:val="20"/>
              </w:rPr>
              <w:t xml:space="preserve">Direct charge to the AMP </w:t>
            </w:r>
          </w:p>
        </w:tc>
      </w:tr>
      <w:tr w:rsidR="008D1462" w:rsidTr="009B62E1">
        <w:trPr>
          <w:trHeight w:val="809"/>
        </w:trPr>
        <w:tc>
          <w:tcPr>
            <w:tcW w:w="2628" w:type="dxa"/>
            <w:vAlign w:val="center"/>
          </w:tcPr>
          <w:p w:rsidR="008D1462" w:rsidRDefault="008D1462" w:rsidP="009B62E1">
            <w:pPr>
              <w:pStyle w:val="Default"/>
              <w:contextualSpacing/>
              <w:rPr>
                <w:sz w:val="20"/>
                <w:szCs w:val="20"/>
              </w:rPr>
            </w:pPr>
            <w:r>
              <w:rPr>
                <w:sz w:val="20"/>
                <w:szCs w:val="20"/>
              </w:rPr>
              <w:t xml:space="preserve">Tenant Services </w:t>
            </w:r>
          </w:p>
        </w:tc>
        <w:tc>
          <w:tcPr>
            <w:tcW w:w="4230" w:type="dxa"/>
            <w:vAlign w:val="center"/>
          </w:tcPr>
          <w:p w:rsidR="008D1462" w:rsidRDefault="008D1462" w:rsidP="009B62E1">
            <w:pPr>
              <w:pStyle w:val="Default"/>
              <w:contextualSpacing/>
              <w:rPr>
                <w:sz w:val="20"/>
                <w:szCs w:val="20"/>
              </w:rPr>
            </w:pPr>
            <w:r>
              <w:rPr>
                <w:sz w:val="20"/>
                <w:szCs w:val="20"/>
              </w:rPr>
              <w:t xml:space="preserve">When possible the costs associated with resident services are tracked at the AMP level. </w:t>
            </w:r>
          </w:p>
        </w:tc>
        <w:tc>
          <w:tcPr>
            <w:tcW w:w="3432" w:type="dxa"/>
            <w:vAlign w:val="center"/>
          </w:tcPr>
          <w:p w:rsidR="008D1462" w:rsidRDefault="008D1462" w:rsidP="009B62E1">
            <w:pPr>
              <w:pStyle w:val="Default"/>
              <w:contextualSpacing/>
              <w:rPr>
                <w:sz w:val="20"/>
                <w:szCs w:val="20"/>
              </w:rPr>
            </w:pPr>
            <w:r>
              <w:rPr>
                <w:sz w:val="20"/>
                <w:szCs w:val="20"/>
              </w:rPr>
              <w:t xml:space="preserve">Direct charge or prorate to the AMPs based on the number of units </w:t>
            </w:r>
          </w:p>
        </w:tc>
      </w:tr>
      <w:tr w:rsidR="008D1462" w:rsidTr="009B62E1">
        <w:trPr>
          <w:trHeight w:val="1079"/>
        </w:trPr>
        <w:tc>
          <w:tcPr>
            <w:tcW w:w="2628" w:type="dxa"/>
            <w:vAlign w:val="center"/>
          </w:tcPr>
          <w:p w:rsidR="008D1462" w:rsidRDefault="008D1462" w:rsidP="009B62E1">
            <w:pPr>
              <w:pStyle w:val="Default"/>
              <w:contextualSpacing/>
              <w:rPr>
                <w:sz w:val="20"/>
                <w:szCs w:val="20"/>
              </w:rPr>
            </w:pPr>
            <w:r>
              <w:rPr>
                <w:sz w:val="20"/>
                <w:szCs w:val="20"/>
              </w:rPr>
              <w:t xml:space="preserve">Central Work Orders </w:t>
            </w:r>
          </w:p>
        </w:tc>
        <w:tc>
          <w:tcPr>
            <w:tcW w:w="4230" w:type="dxa"/>
            <w:vAlign w:val="center"/>
          </w:tcPr>
          <w:p w:rsidR="008D1462" w:rsidRDefault="008D1462" w:rsidP="009B62E1">
            <w:pPr>
              <w:pStyle w:val="Default"/>
              <w:contextualSpacing/>
              <w:rPr>
                <w:sz w:val="20"/>
                <w:szCs w:val="20"/>
              </w:rPr>
            </w:pPr>
            <w:r>
              <w:rPr>
                <w:sz w:val="20"/>
                <w:szCs w:val="20"/>
              </w:rPr>
              <w:t xml:space="preserve">HATT takes work order phone calls at one location. The expenses for taking the work orders centrally are prorated to the AMPs </w:t>
            </w:r>
          </w:p>
        </w:tc>
        <w:tc>
          <w:tcPr>
            <w:tcW w:w="3432" w:type="dxa"/>
            <w:vAlign w:val="center"/>
          </w:tcPr>
          <w:p w:rsidR="008D1462" w:rsidRDefault="008D1462" w:rsidP="009B62E1">
            <w:pPr>
              <w:pStyle w:val="Default"/>
              <w:contextualSpacing/>
              <w:rPr>
                <w:sz w:val="20"/>
                <w:szCs w:val="20"/>
              </w:rPr>
            </w:pPr>
            <w:r>
              <w:rPr>
                <w:sz w:val="20"/>
                <w:szCs w:val="20"/>
              </w:rPr>
              <w:t xml:space="preserve">Prorated based on number of work orders for each AMP </w:t>
            </w:r>
          </w:p>
        </w:tc>
      </w:tr>
      <w:tr w:rsidR="008D1462" w:rsidTr="009B62E1">
        <w:trPr>
          <w:trHeight w:val="1250"/>
        </w:trPr>
        <w:tc>
          <w:tcPr>
            <w:tcW w:w="2628" w:type="dxa"/>
            <w:vAlign w:val="center"/>
          </w:tcPr>
          <w:p w:rsidR="008D1462" w:rsidRDefault="008D1462" w:rsidP="009B62E1">
            <w:pPr>
              <w:pStyle w:val="Default"/>
              <w:contextualSpacing/>
              <w:rPr>
                <w:sz w:val="20"/>
                <w:szCs w:val="20"/>
              </w:rPr>
            </w:pPr>
            <w:r>
              <w:rPr>
                <w:sz w:val="20"/>
                <w:szCs w:val="20"/>
              </w:rPr>
              <w:t xml:space="preserve">Central Occupancy </w:t>
            </w:r>
          </w:p>
        </w:tc>
        <w:tc>
          <w:tcPr>
            <w:tcW w:w="4230" w:type="dxa"/>
            <w:vAlign w:val="center"/>
          </w:tcPr>
          <w:p w:rsidR="008D1462" w:rsidRDefault="008D1462" w:rsidP="009B62E1">
            <w:pPr>
              <w:pStyle w:val="Default"/>
              <w:contextualSpacing/>
              <w:rPr>
                <w:sz w:val="20"/>
                <w:szCs w:val="20"/>
              </w:rPr>
            </w:pPr>
            <w:r>
              <w:rPr>
                <w:sz w:val="20"/>
                <w:szCs w:val="20"/>
              </w:rPr>
              <w:t xml:space="preserve">HATT processes applications and background for occupancy in a central location. The expenses for the central occupancy processing are prorated to the AMPs </w:t>
            </w:r>
          </w:p>
        </w:tc>
        <w:tc>
          <w:tcPr>
            <w:tcW w:w="3432" w:type="dxa"/>
            <w:vAlign w:val="center"/>
          </w:tcPr>
          <w:p w:rsidR="008D1462" w:rsidRDefault="008D1462" w:rsidP="009B62E1">
            <w:pPr>
              <w:pStyle w:val="Default"/>
              <w:contextualSpacing/>
              <w:rPr>
                <w:sz w:val="20"/>
                <w:szCs w:val="20"/>
              </w:rPr>
            </w:pPr>
            <w:r>
              <w:rPr>
                <w:sz w:val="20"/>
                <w:szCs w:val="20"/>
              </w:rPr>
              <w:t xml:space="preserve">Prorated based on number of files passed forward to asset manager for each AMP </w:t>
            </w:r>
          </w:p>
        </w:tc>
      </w:tr>
      <w:tr w:rsidR="008D1462" w:rsidTr="009B62E1">
        <w:trPr>
          <w:trHeight w:val="791"/>
        </w:trPr>
        <w:tc>
          <w:tcPr>
            <w:tcW w:w="2628" w:type="dxa"/>
            <w:vAlign w:val="center"/>
          </w:tcPr>
          <w:p w:rsidR="008D1462" w:rsidRDefault="008D1462" w:rsidP="009B62E1">
            <w:pPr>
              <w:pStyle w:val="Default"/>
              <w:contextualSpacing/>
              <w:rPr>
                <w:sz w:val="20"/>
                <w:szCs w:val="20"/>
              </w:rPr>
            </w:pPr>
            <w:r>
              <w:rPr>
                <w:sz w:val="20"/>
                <w:szCs w:val="20"/>
              </w:rPr>
              <w:t xml:space="preserve">Central Rent Collection/ Cashiers </w:t>
            </w:r>
          </w:p>
        </w:tc>
        <w:tc>
          <w:tcPr>
            <w:tcW w:w="4230" w:type="dxa"/>
            <w:vAlign w:val="center"/>
          </w:tcPr>
          <w:p w:rsidR="008D1462" w:rsidRDefault="008D1462" w:rsidP="009B62E1">
            <w:pPr>
              <w:pStyle w:val="Default"/>
              <w:contextualSpacing/>
              <w:rPr>
                <w:sz w:val="20"/>
                <w:szCs w:val="20"/>
              </w:rPr>
            </w:pPr>
            <w:r>
              <w:rPr>
                <w:sz w:val="20"/>
                <w:szCs w:val="20"/>
              </w:rPr>
              <w:t xml:space="preserve">HATT collects at the COCC. The expense of collecting the rent is prorated to the AMPs </w:t>
            </w:r>
          </w:p>
        </w:tc>
        <w:tc>
          <w:tcPr>
            <w:tcW w:w="3432" w:type="dxa"/>
            <w:vAlign w:val="center"/>
          </w:tcPr>
          <w:p w:rsidR="008D1462" w:rsidRDefault="008D1462" w:rsidP="009B62E1">
            <w:pPr>
              <w:pStyle w:val="Default"/>
              <w:contextualSpacing/>
              <w:rPr>
                <w:sz w:val="20"/>
                <w:szCs w:val="20"/>
              </w:rPr>
            </w:pPr>
            <w:r>
              <w:rPr>
                <w:sz w:val="20"/>
                <w:szCs w:val="20"/>
              </w:rPr>
              <w:t xml:space="preserve">Prorated based on number of units </w:t>
            </w:r>
          </w:p>
        </w:tc>
      </w:tr>
      <w:tr w:rsidR="008D1462" w:rsidTr="009B62E1">
        <w:trPr>
          <w:trHeight w:val="809"/>
        </w:trPr>
        <w:tc>
          <w:tcPr>
            <w:tcW w:w="2628" w:type="dxa"/>
            <w:vAlign w:val="center"/>
          </w:tcPr>
          <w:p w:rsidR="008D1462" w:rsidRDefault="008D1462" w:rsidP="009B62E1">
            <w:pPr>
              <w:pStyle w:val="Default"/>
              <w:contextualSpacing/>
              <w:rPr>
                <w:sz w:val="20"/>
                <w:szCs w:val="20"/>
              </w:rPr>
            </w:pPr>
            <w:r>
              <w:rPr>
                <w:sz w:val="20"/>
                <w:szCs w:val="20"/>
              </w:rPr>
              <w:t xml:space="preserve">Safety </w:t>
            </w:r>
          </w:p>
        </w:tc>
        <w:tc>
          <w:tcPr>
            <w:tcW w:w="4230" w:type="dxa"/>
            <w:vAlign w:val="center"/>
          </w:tcPr>
          <w:p w:rsidR="008D1462" w:rsidRDefault="008D1462" w:rsidP="009B62E1">
            <w:pPr>
              <w:pStyle w:val="Default"/>
              <w:contextualSpacing/>
              <w:rPr>
                <w:sz w:val="20"/>
                <w:szCs w:val="20"/>
              </w:rPr>
            </w:pPr>
            <w:r>
              <w:rPr>
                <w:sz w:val="20"/>
                <w:szCs w:val="20"/>
              </w:rPr>
              <w:t xml:space="preserve">The cost for the safety officers working in the Public Housing program are prorated to the AMPs. </w:t>
            </w:r>
          </w:p>
        </w:tc>
        <w:tc>
          <w:tcPr>
            <w:tcW w:w="3432" w:type="dxa"/>
            <w:vAlign w:val="center"/>
          </w:tcPr>
          <w:p w:rsidR="008D1462" w:rsidRDefault="008D1462" w:rsidP="009B62E1">
            <w:pPr>
              <w:pStyle w:val="Default"/>
              <w:contextualSpacing/>
              <w:rPr>
                <w:sz w:val="20"/>
                <w:szCs w:val="20"/>
              </w:rPr>
            </w:pPr>
            <w:r>
              <w:rPr>
                <w:sz w:val="20"/>
                <w:szCs w:val="20"/>
              </w:rPr>
              <w:t xml:space="preserve">Prorated based on number of units </w:t>
            </w:r>
          </w:p>
        </w:tc>
      </w:tr>
      <w:tr w:rsidR="008D1462" w:rsidTr="009B62E1">
        <w:trPr>
          <w:trHeight w:val="1439"/>
        </w:trPr>
        <w:tc>
          <w:tcPr>
            <w:tcW w:w="2628" w:type="dxa"/>
            <w:vAlign w:val="center"/>
          </w:tcPr>
          <w:p w:rsidR="008D1462" w:rsidRDefault="008D1462" w:rsidP="009B62E1">
            <w:pPr>
              <w:pStyle w:val="Default"/>
              <w:contextualSpacing/>
              <w:rPr>
                <w:sz w:val="20"/>
                <w:szCs w:val="20"/>
              </w:rPr>
            </w:pPr>
            <w:r>
              <w:rPr>
                <w:sz w:val="20"/>
                <w:szCs w:val="20"/>
              </w:rPr>
              <w:lastRenderedPageBreak/>
              <w:t xml:space="preserve">Property Management &amp; Bookkeeping Fees </w:t>
            </w:r>
          </w:p>
        </w:tc>
        <w:tc>
          <w:tcPr>
            <w:tcW w:w="4230" w:type="dxa"/>
            <w:vAlign w:val="center"/>
          </w:tcPr>
          <w:p w:rsidR="008D1462" w:rsidRDefault="008D1462" w:rsidP="009B62E1">
            <w:pPr>
              <w:pStyle w:val="Default"/>
              <w:contextualSpacing/>
              <w:rPr>
                <w:sz w:val="20"/>
                <w:szCs w:val="20"/>
              </w:rPr>
            </w:pPr>
            <w:r>
              <w:rPr>
                <w:sz w:val="20"/>
                <w:szCs w:val="20"/>
              </w:rPr>
              <w:t>HUD has prescribed a $46.69 PUM property management and $7.50 PUM bookkeeping fee for HATT. This fee is charged to each AMP based on the number of eligible unit months at each AMP for general oversight by the central office.</w:t>
            </w:r>
          </w:p>
        </w:tc>
        <w:tc>
          <w:tcPr>
            <w:tcW w:w="3432" w:type="dxa"/>
            <w:vAlign w:val="center"/>
          </w:tcPr>
          <w:p w:rsidR="008D1462" w:rsidRDefault="008D1462" w:rsidP="009B62E1">
            <w:pPr>
              <w:pStyle w:val="Default"/>
              <w:contextualSpacing/>
              <w:rPr>
                <w:sz w:val="20"/>
                <w:szCs w:val="20"/>
              </w:rPr>
            </w:pPr>
            <w:r>
              <w:rPr>
                <w:sz w:val="20"/>
                <w:szCs w:val="20"/>
              </w:rPr>
              <w:t xml:space="preserve">Monthly direct charge to each AMP based on the number of eligible units </w:t>
            </w:r>
          </w:p>
        </w:tc>
      </w:tr>
      <w:tr w:rsidR="008D1462" w:rsidTr="009B62E1">
        <w:trPr>
          <w:trHeight w:val="800"/>
        </w:trPr>
        <w:tc>
          <w:tcPr>
            <w:tcW w:w="2628" w:type="dxa"/>
            <w:vAlign w:val="center"/>
          </w:tcPr>
          <w:p w:rsidR="008D1462" w:rsidRDefault="008D1462" w:rsidP="009B62E1">
            <w:pPr>
              <w:pStyle w:val="Default"/>
              <w:contextualSpacing/>
              <w:rPr>
                <w:sz w:val="20"/>
                <w:szCs w:val="20"/>
              </w:rPr>
            </w:pPr>
            <w:r>
              <w:rPr>
                <w:sz w:val="20"/>
                <w:szCs w:val="20"/>
              </w:rPr>
              <w:t xml:space="preserve">Asset Management Fee </w:t>
            </w:r>
          </w:p>
        </w:tc>
        <w:tc>
          <w:tcPr>
            <w:tcW w:w="4230" w:type="dxa"/>
            <w:vAlign w:val="center"/>
          </w:tcPr>
          <w:p w:rsidR="008D1462" w:rsidRDefault="008D1462" w:rsidP="009B62E1">
            <w:pPr>
              <w:pStyle w:val="Default"/>
              <w:contextualSpacing/>
              <w:rPr>
                <w:sz w:val="20"/>
                <w:szCs w:val="20"/>
              </w:rPr>
            </w:pPr>
            <w:r>
              <w:rPr>
                <w:sz w:val="20"/>
                <w:szCs w:val="20"/>
              </w:rPr>
              <w:t xml:space="preserve">HUD has prescribed an asset management fee of </w:t>
            </w:r>
            <w:r>
              <w:rPr>
                <w:sz w:val="20"/>
                <w:szCs w:val="20"/>
              </w:rPr>
              <w:softHyphen/>
              <w:t xml:space="preserve">$10 PUM. This fee can only be charged if the AMP has enough cash flow. </w:t>
            </w:r>
          </w:p>
        </w:tc>
        <w:tc>
          <w:tcPr>
            <w:tcW w:w="3432" w:type="dxa"/>
            <w:vAlign w:val="center"/>
          </w:tcPr>
          <w:p w:rsidR="008D1462" w:rsidRDefault="008D1462" w:rsidP="009B62E1">
            <w:pPr>
              <w:pStyle w:val="Default"/>
              <w:contextualSpacing/>
              <w:rPr>
                <w:sz w:val="20"/>
                <w:szCs w:val="20"/>
              </w:rPr>
            </w:pPr>
            <w:r>
              <w:rPr>
                <w:sz w:val="20"/>
                <w:szCs w:val="20"/>
              </w:rPr>
              <w:t xml:space="preserve">Monthly direct charge to each AMP based on the total number of units </w:t>
            </w:r>
          </w:p>
        </w:tc>
      </w:tr>
    </w:tbl>
    <w:p w:rsidR="00CD48F5" w:rsidRDefault="00CD48F5" w:rsidP="007B765E">
      <w:pPr>
        <w:pStyle w:val="Style2"/>
        <w:tabs>
          <w:tab w:val="clear" w:pos="360"/>
        </w:tabs>
        <w:spacing w:after="0" w:line="240" w:lineRule="auto"/>
        <w:ind w:hanging="360"/>
        <w:contextualSpacing/>
        <w:jc w:val="both"/>
      </w:pPr>
    </w:p>
    <w:p w:rsidR="009B62E1" w:rsidRDefault="009B62E1" w:rsidP="007B765E">
      <w:pPr>
        <w:pStyle w:val="Style2"/>
        <w:tabs>
          <w:tab w:val="clear" w:pos="360"/>
        </w:tabs>
        <w:spacing w:after="0" w:line="240" w:lineRule="auto"/>
        <w:ind w:hanging="360"/>
        <w:contextualSpacing/>
        <w:jc w:val="both"/>
      </w:pPr>
    </w:p>
    <w:p w:rsidR="00D461C3" w:rsidRPr="00126658" w:rsidRDefault="00A30969" w:rsidP="00496E27">
      <w:pPr>
        <w:pStyle w:val="Header2"/>
      </w:pPr>
      <w:bookmarkStart w:id="19" w:name="_Toc266699076"/>
      <w:r w:rsidRPr="00126658">
        <w:t xml:space="preserve">D. </w:t>
      </w:r>
      <w:r w:rsidR="008D1462">
        <w:tab/>
      </w:r>
      <w:r w:rsidRPr="00126658">
        <w:t>Public Housing – AMP Income</w:t>
      </w:r>
      <w:bookmarkEnd w:id="19"/>
      <w:r w:rsidRPr="00126658">
        <w:t xml:space="preserve"> </w:t>
      </w:r>
    </w:p>
    <w:p w:rsidR="00CD48F5" w:rsidRDefault="00CD48F5" w:rsidP="007B765E">
      <w:pPr>
        <w:pStyle w:val="Default"/>
        <w:ind w:left="1080" w:hanging="360"/>
        <w:contextualSpacing/>
        <w:jc w:val="both"/>
        <w:rPr>
          <w:color w:val="auto"/>
        </w:rPr>
      </w:pPr>
    </w:p>
    <w:p w:rsidR="008D1462" w:rsidRDefault="002405A4" w:rsidP="007B765E">
      <w:pPr>
        <w:pStyle w:val="Default"/>
        <w:ind w:left="1080" w:hanging="360"/>
        <w:contextualSpacing/>
        <w:jc w:val="both"/>
        <w:rPr>
          <w:color w:val="auto"/>
        </w:rPr>
      </w:pPr>
      <w:r w:rsidRPr="00126658">
        <w:rPr>
          <w:color w:val="auto"/>
        </w:rPr>
        <w:t>1</w:t>
      </w:r>
      <w:r w:rsidR="008D1462">
        <w:rPr>
          <w:color w:val="auto"/>
        </w:rPr>
        <w:t>.</w:t>
      </w:r>
      <w:r w:rsidRPr="00126658">
        <w:rPr>
          <w:color w:val="auto"/>
        </w:rPr>
        <w:tab/>
      </w:r>
      <w:r w:rsidR="00A30969" w:rsidRPr="00126658">
        <w:rPr>
          <w:color w:val="auto"/>
        </w:rPr>
        <w:t xml:space="preserve">There are three main sources of income for the public housing program </w:t>
      </w:r>
    </w:p>
    <w:p w:rsidR="008D1462" w:rsidRDefault="008D1462" w:rsidP="007B765E">
      <w:pPr>
        <w:pStyle w:val="Default"/>
        <w:ind w:left="1080" w:hanging="360"/>
        <w:contextualSpacing/>
        <w:jc w:val="both"/>
        <w:rPr>
          <w:color w:val="auto"/>
        </w:rPr>
      </w:pPr>
    </w:p>
    <w:p w:rsidR="008D1462" w:rsidRPr="00CE10FC" w:rsidRDefault="008D1462" w:rsidP="007B765E">
      <w:pPr>
        <w:pStyle w:val="Default"/>
        <w:ind w:left="1440" w:hanging="360"/>
        <w:contextualSpacing/>
        <w:jc w:val="both"/>
        <w:rPr>
          <w:color w:val="auto"/>
        </w:rPr>
      </w:pPr>
      <w:r>
        <w:rPr>
          <w:color w:val="auto"/>
        </w:rPr>
        <w:t xml:space="preserve">a. </w:t>
      </w:r>
      <w:r>
        <w:rPr>
          <w:color w:val="auto"/>
        </w:rPr>
        <w:tab/>
      </w:r>
      <w:r w:rsidR="00A30969" w:rsidRPr="00126658">
        <w:rPr>
          <w:color w:val="auto"/>
        </w:rPr>
        <w:t xml:space="preserve">HUD Subsidy – </w:t>
      </w:r>
      <w:r w:rsidR="009B62E1">
        <w:rPr>
          <w:color w:val="auto"/>
        </w:rPr>
        <w:t xml:space="preserve">annual operating </w:t>
      </w:r>
      <w:r w:rsidR="00A30969" w:rsidRPr="00126658">
        <w:rPr>
          <w:color w:val="auto"/>
        </w:rPr>
        <w:t xml:space="preserve">subsidy </w:t>
      </w:r>
      <w:r w:rsidR="00A30969" w:rsidRPr="00CE10FC">
        <w:rPr>
          <w:color w:val="auto"/>
        </w:rPr>
        <w:t xml:space="preserve">provided by </w:t>
      </w:r>
      <w:r w:rsidR="009B62E1">
        <w:rPr>
          <w:color w:val="auto"/>
        </w:rPr>
        <w:t>HUD</w:t>
      </w:r>
      <w:r w:rsidR="00A30969" w:rsidRPr="00CE10FC">
        <w:rPr>
          <w:color w:val="auto"/>
        </w:rPr>
        <w:t xml:space="preserve"> to operate the public housing program at HATT</w:t>
      </w:r>
      <w:r w:rsidR="00CE10FC" w:rsidRPr="00CE10FC">
        <w:t>.</w:t>
      </w:r>
    </w:p>
    <w:p w:rsidR="008D1462" w:rsidRPr="00CE10FC" w:rsidRDefault="008D1462" w:rsidP="007B765E">
      <w:pPr>
        <w:pStyle w:val="Default"/>
        <w:ind w:left="1440" w:hanging="360"/>
        <w:contextualSpacing/>
        <w:jc w:val="both"/>
        <w:rPr>
          <w:color w:val="auto"/>
        </w:rPr>
      </w:pPr>
    </w:p>
    <w:p w:rsidR="008D1462" w:rsidRDefault="008D1462" w:rsidP="007B765E">
      <w:pPr>
        <w:pStyle w:val="Default"/>
        <w:ind w:left="1440" w:hanging="360"/>
        <w:contextualSpacing/>
        <w:jc w:val="both"/>
        <w:rPr>
          <w:color w:val="auto"/>
        </w:rPr>
      </w:pPr>
      <w:r>
        <w:rPr>
          <w:color w:val="auto"/>
        </w:rPr>
        <w:t>b.</w:t>
      </w:r>
      <w:r>
        <w:rPr>
          <w:color w:val="auto"/>
        </w:rPr>
        <w:tab/>
      </w:r>
      <w:r w:rsidR="00A30969" w:rsidRPr="00126658">
        <w:rPr>
          <w:color w:val="auto"/>
        </w:rPr>
        <w:t>Tenant Rent – rental income from HATT public housing residents paid to HATT</w:t>
      </w:r>
      <w:r w:rsidR="00CE10FC">
        <w:rPr>
          <w:color w:val="auto"/>
        </w:rPr>
        <w:t xml:space="preserve"> is collected and recorded by development.</w:t>
      </w:r>
      <w:r w:rsidR="00A30969" w:rsidRPr="00126658">
        <w:rPr>
          <w:color w:val="auto"/>
        </w:rPr>
        <w:t xml:space="preserve"> </w:t>
      </w:r>
    </w:p>
    <w:p w:rsidR="008D1462" w:rsidRDefault="008D1462" w:rsidP="007B765E">
      <w:pPr>
        <w:pStyle w:val="Default"/>
        <w:ind w:left="1080"/>
        <w:contextualSpacing/>
        <w:jc w:val="both"/>
        <w:rPr>
          <w:color w:val="auto"/>
        </w:rPr>
      </w:pPr>
    </w:p>
    <w:p w:rsidR="00D461C3" w:rsidRPr="00CE10FC" w:rsidRDefault="00A30969" w:rsidP="003F3717">
      <w:pPr>
        <w:pStyle w:val="Default"/>
        <w:numPr>
          <w:ilvl w:val="0"/>
          <w:numId w:val="9"/>
        </w:numPr>
        <w:contextualSpacing/>
        <w:jc w:val="both"/>
        <w:rPr>
          <w:color w:val="auto"/>
        </w:rPr>
      </w:pPr>
      <w:r w:rsidRPr="00126658">
        <w:rPr>
          <w:color w:val="auto"/>
        </w:rPr>
        <w:t>Other Income – income from interest on investments, services (laundry) and/or other tenant charges (maintenance charges</w:t>
      </w:r>
      <w:r w:rsidRPr="00CE10FC">
        <w:rPr>
          <w:color w:val="auto"/>
        </w:rPr>
        <w:t>)</w:t>
      </w:r>
      <w:r w:rsidR="00CE10FC" w:rsidRPr="00CE10FC">
        <w:rPr>
          <w:color w:val="auto"/>
        </w:rPr>
        <w:t xml:space="preserve">. </w:t>
      </w:r>
      <w:r w:rsidR="00CE10FC" w:rsidRPr="00CE10FC">
        <w:t>Where possible</w:t>
      </w:r>
      <w:r w:rsidR="009B62E1">
        <w:t>,</w:t>
      </w:r>
      <w:r w:rsidR="00CE10FC" w:rsidRPr="00CE10FC">
        <w:t xml:space="preserve"> HATT track</w:t>
      </w:r>
      <w:r w:rsidR="009B62E1">
        <w:t>s income streams by development</w:t>
      </w:r>
      <w:r w:rsidR="00CE10FC" w:rsidRPr="00CE10FC">
        <w:t xml:space="preserve"> (e.g. laundry rooms, charges to tenants)</w:t>
      </w:r>
      <w:r w:rsidR="009B62E1">
        <w:t>.</w:t>
      </w:r>
      <w:r w:rsidR="00CE10FC" w:rsidRPr="00CE10FC">
        <w:t xml:space="preserve"> Where it is not currently possible</w:t>
      </w:r>
      <w:r w:rsidR="00CE10FC">
        <w:t xml:space="preserve"> (e.g. investment income),</w:t>
      </w:r>
      <w:r w:rsidR="00CE10FC" w:rsidRPr="00CE10FC">
        <w:t xml:space="preserve"> HATT will distribute the income based on number of units. In the future, when balance sheets are AMP specific</w:t>
      </w:r>
      <w:r w:rsidR="009B62E1">
        <w:t>,</w:t>
      </w:r>
      <w:r w:rsidR="00CE10FC" w:rsidRPr="00CE10FC">
        <w:t xml:space="preserve"> each AMP will have a specific investment income amount. </w:t>
      </w:r>
      <w:r w:rsidRPr="00CE10FC">
        <w:rPr>
          <w:color w:val="auto"/>
        </w:rPr>
        <w:t xml:space="preserve"> </w:t>
      </w:r>
    </w:p>
    <w:p w:rsidR="008D1462" w:rsidRDefault="008D1462" w:rsidP="007B765E">
      <w:pPr>
        <w:pStyle w:val="Default"/>
        <w:contextualSpacing/>
        <w:jc w:val="both"/>
        <w:rPr>
          <w:color w:val="auto"/>
        </w:rPr>
      </w:pPr>
    </w:p>
    <w:p w:rsidR="00A73A55" w:rsidRPr="00126658" w:rsidRDefault="00A30969" w:rsidP="00496E27">
      <w:pPr>
        <w:pStyle w:val="Header2"/>
      </w:pPr>
      <w:bookmarkStart w:id="20" w:name="_Toc266699077"/>
      <w:r w:rsidRPr="00126658">
        <w:t xml:space="preserve">E. </w:t>
      </w:r>
      <w:r w:rsidR="001752CE">
        <w:tab/>
      </w:r>
      <w:r w:rsidRPr="001752CE">
        <w:t>Capital</w:t>
      </w:r>
      <w:r w:rsidRPr="00126658">
        <w:t xml:space="preserve"> Fund – Expenses</w:t>
      </w:r>
      <w:bookmarkEnd w:id="20"/>
      <w:r w:rsidRPr="00126658">
        <w:t xml:space="preserve"> </w:t>
      </w:r>
    </w:p>
    <w:p w:rsidR="00CD48F5" w:rsidRDefault="00CD48F5" w:rsidP="007B765E">
      <w:pPr>
        <w:pStyle w:val="Style3"/>
        <w:spacing w:line="240" w:lineRule="auto"/>
        <w:ind w:left="1080" w:hanging="360"/>
        <w:contextualSpacing/>
        <w:jc w:val="both"/>
      </w:pPr>
    </w:p>
    <w:p w:rsidR="00A73A55" w:rsidRDefault="00A30969" w:rsidP="007B765E">
      <w:pPr>
        <w:pStyle w:val="Style3"/>
        <w:spacing w:line="240" w:lineRule="auto"/>
        <w:ind w:left="1080" w:hanging="360"/>
        <w:contextualSpacing/>
        <w:jc w:val="both"/>
      </w:pPr>
      <w:r w:rsidRPr="00126658">
        <w:t>1</w:t>
      </w:r>
      <w:r w:rsidR="001752CE">
        <w:t>.</w:t>
      </w:r>
      <w:r w:rsidR="001752CE">
        <w:tab/>
      </w:r>
      <w:r w:rsidRPr="00126658">
        <w:t xml:space="preserve">Expenses of the </w:t>
      </w:r>
      <w:r w:rsidR="009B62E1">
        <w:t>C</w:t>
      </w:r>
      <w:r w:rsidRPr="00126658">
        <w:t xml:space="preserve">apital </w:t>
      </w:r>
      <w:r w:rsidR="009B62E1">
        <w:t>F</w:t>
      </w:r>
      <w:r w:rsidRPr="00126658">
        <w:t xml:space="preserve">und </w:t>
      </w:r>
      <w:r w:rsidR="009B62E1">
        <w:t>P</w:t>
      </w:r>
      <w:r w:rsidRPr="00126658">
        <w:t xml:space="preserve">rogram </w:t>
      </w:r>
      <w:r w:rsidR="009B62E1">
        <w:t xml:space="preserve">(CFP) </w:t>
      </w:r>
      <w:r w:rsidRPr="00126658">
        <w:t>are handled differently than</w:t>
      </w:r>
      <w:r w:rsidR="00A73A55" w:rsidRPr="00126658">
        <w:t xml:space="preserve"> any other program run by HATT.</w:t>
      </w:r>
    </w:p>
    <w:p w:rsidR="001752CE" w:rsidRPr="00126658" w:rsidRDefault="001752CE" w:rsidP="007B765E">
      <w:pPr>
        <w:pStyle w:val="Style3"/>
        <w:spacing w:line="240" w:lineRule="auto"/>
        <w:ind w:left="1080" w:hanging="360"/>
        <w:contextualSpacing/>
        <w:jc w:val="both"/>
      </w:pPr>
    </w:p>
    <w:p w:rsidR="001752CE" w:rsidRDefault="00A30969" w:rsidP="003F3717">
      <w:pPr>
        <w:pStyle w:val="Default"/>
        <w:numPr>
          <w:ilvl w:val="0"/>
          <w:numId w:val="10"/>
        </w:numPr>
        <w:contextualSpacing/>
        <w:jc w:val="both"/>
        <w:rPr>
          <w:color w:val="auto"/>
        </w:rPr>
      </w:pPr>
      <w:r w:rsidRPr="00126658">
        <w:rPr>
          <w:color w:val="auto"/>
        </w:rPr>
        <w:t>On a monthly basis the COCC charges the CFP a management fee of 10% of the grant amount to budget line item 1410.</w:t>
      </w:r>
    </w:p>
    <w:p w:rsidR="00A73A55" w:rsidRPr="00126658" w:rsidRDefault="00A30969" w:rsidP="007B765E">
      <w:pPr>
        <w:pStyle w:val="Default"/>
        <w:ind w:left="1440"/>
        <w:contextualSpacing/>
        <w:jc w:val="both"/>
        <w:rPr>
          <w:color w:val="auto"/>
        </w:rPr>
      </w:pPr>
      <w:r w:rsidRPr="00126658">
        <w:rPr>
          <w:color w:val="auto"/>
        </w:rPr>
        <w:t xml:space="preserve"> </w:t>
      </w:r>
    </w:p>
    <w:p w:rsidR="00A73A55" w:rsidRDefault="009B62E1" w:rsidP="003F3717">
      <w:pPr>
        <w:pStyle w:val="Default"/>
        <w:numPr>
          <w:ilvl w:val="0"/>
          <w:numId w:val="10"/>
        </w:numPr>
        <w:contextualSpacing/>
        <w:jc w:val="both"/>
        <w:rPr>
          <w:color w:val="auto"/>
        </w:rPr>
      </w:pPr>
      <w:r>
        <w:rPr>
          <w:color w:val="auto"/>
        </w:rPr>
        <w:t>Budget l</w:t>
      </w:r>
      <w:r w:rsidR="00A30969" w:rsidRPr="00126658">
        <w:rPr>
          <w:color w:val="auto"/>
        </w:rPr>
        <w:t xml:space="preserve">ine items 1406 &amp; 1408 are used for AMP specific expenses and are not used for central office expenses. </w:t>
      </w:r>
    </w:p>
    <w:p w:rsidR="001752CE" w:rsidRPr="00126658" w:rsidRDefault="001752CE" w:rsidP="007B765E">
      <w:pPr>
        <w:pStyle w:val="Default"/>
        <w:contextualSpacing/>
        <w:jc w:val="both"/>
        <w:rPr>
          <w:color w:val="auto"/>
        </w:rPr>
      </w:pPr>
    </w:p>
    <w:p w:rsidR="00D461C3" w:rsidRPr="00126658" w:rsidRDefault="00A30969" w:rsidP="003F3717">
      <w:pPr>
        <w:pStyle w:val="Default"/>
        <w:numPr>
          <w:ilvl w:val="0"/>
          <w:numId w:val="10"/>
        </w:numPr>
        <w:contextualSpacing/>
        <w:jc w:val="both"/>
        <w:rPr>
          <w:color w:val="auto"/>
        </w:rPr>
      </w:pPr>
      <w:r w:rsidRPr="00126658">
        <w:rPr>
          <w:color w:val="auto"/>
        </w:rPr>
        <w:t>When capital work begins at a development the actual expense is booked at the AMP level and is “refunded” by drawing down the amount from</w:t>
      </w:r>
      <w:r w:rsidR="009B62E1">
        <w:rPr>
          <w:color w:val="auto"/>
        </w:rPr>
        <w:t xml:space="preserve"> HUD’s primary grant disbursement system,</w:t>
      </w:r>
      <w:r w:rsidRPr="00126658">
        <w:rPr>
          <w:color w:val="auto"/>
        </w:rPr>
        <w:t xml:space="preserve"> </w:t>
      </w:r>
      <w:r w:rsidR="009B62E1">
        <w:rPr>
          <w:color w:val="auto"/>
        </w:rPr>
        <w:t>the Electronic Line of Credit Control System (</w:t>
      </w:r>
      <w:proofErr w:type="spellStart"/>
      <w:r w:rsidRPr="00126658">
        <w:rPr>
          <w:color w:val="auto"/>
        </w:rPr>
        <w:t>e</w:t>
      </w:r>
      <w:r w:rsidRPr="00126658">
        <w:rPr>
          <w:color w:val="auto"/>
        </w:rPr>
        <w:softHyphen/>
        <w:t>LOCCS</w:t>
      </w:r>
      <w:proofErr w:type="spellEnd"/>
      <w:r w:rsidR="009B62E1">
        <w:rPr>
          <w:color w:val="auto"/>
        </w:rPr>
        <w:t>)</w:t>
      </w:r>
      <w:r w:rsidRPr="00126658">
        <w:rPr>
          <w:color w:val="auto"/>
        </w:rPr>
        <w:t xml:space="preserve">. </w:t>
      </w:r>
    </w:p>
    <w:p w:rsidR="00D461C3" w:rsidRPr="00126658" w:rsidRDefault="00D461C3" w:rsidP="007B765E">
      <w:pPr>
        <w:pStyle w:val="Default"/>
        <w:contextualSpacing/>
        <w:jc w:val="both"/>
        <w:rPr>
          <w:color w:val="auto"/>
        </w:rPr>
      </w:pPr>
    </w:p>
    <w:p w:rsidR="00D461C3" w:rsidRPr="00126658" w:rsidRDefault="00A30969" w:rsidP="007B765E">
      <w:pPr>
        <w:pStyle w:val="CM9"/>
        <w:spacing w:line="240" w:lineRule="auto"/>
        <w:ind w:left="1080" w:right="97" w:hanging="360"/>
        <w:contextualSpacing/>
        <w:jc w:val="both"/>
      </w:pPr>
      <w:r w:rsidRPr="00126658">
        <w:t>2</w:t>
      </w:r>
      <w:r w:rsidR="001752CE">
        <w:t>.</w:t>
      </w:r>
      <w:r w:rsidR="001752CE">
        <w:tab/>
      </w:r>
      <w:r w:rsidRPr="00126658">
        <w:t xml:space="preserve">The </w:t>
      </w:r>
      <w:r w:rsidR="009B62E1">
        <w:t>C</w:t>
      </w:r>
      <w:r w:rsidRPr="00126658">
        <w:t xml:space="preserve">apital </w:t>
      </w:r>
      <w:r w:rsidR="009B62E1">
        <w:t>F</w:t>
      </w:r>
      <w:r w:rsidRPr="00126658">
        <w:t xml:space="preserve">und </w:t>
      </w:r>
      <w:r w:rsidR="009B62E1">
        <w:t>P</w:t>
      </w:r>
      <w:r w:rsidRPr="00126658">
        <w:t>rogram is a grant program</w:t>
      </w:r>
      <w:r w:rsidR="00141B2F" w:rsidRPr="00126658">
        <w:t>;</w:t>
      </w:r>
      <w:r w:rsidRPr="00126658">
        <w:t xml:space="preserve"> therefore all employees working for the program, with a few exceptions, are part of </w:t>
      </w:r>
      <w:r w:rsidR="001752CE">
        <w:t xml:space="preserve">the </w:t>
      </w:r>
      <w:r w:rsidR="009B62E1">
        <w:t>COCC</w:t>
      </w:r>
      <w:r w:rsidR="001752CE">
        <w:t xml:space="preserve">. </w:t>
      </w:r>
      <w:r w:rsidRPr="00126658">
        <w:t xml:space="preserve">Employees working on construction projects at the AMPs will be expensed to the AMPs and supported through appropriate budgeting measures to the individual AMPs. </w:t>
      </w:r>
    </w:p>
    <w:p w:rsidR="00A73A55" w:rsidRPr="00126658" w:rsidRDefault="00A73A55" w:rsidP="007B765E">
      <w:pPr>
        <w:pStyle w:val="CM1"/>
        <w:contextualSpacing/>
        <w:jc w:val="both"/>
      </w:pPr>
    </w:p>
    <w:p w:rsidR="00A73A55" w:rsidRPr="00126658" w:rsidRDefault="00A30969" w:rsidP="00496E27">
      <w:pPr>
        <w:pStyle w:val="Header2"/>
      </w:pPr>
      <w:bookmarkStart w:id="21" w:name="_Toc266699078"/>
      <w:r w:rsidRPr="00126658">
        <w:t xml:space="preserve">F. </w:t>
      </w:r>
      <w:r w:rsidR="001752CE">
        <w:tab/>
      </w:r>
      <w:r w:rsidRPr="00126658">
        <w:t>Capital Fund – Income</w:t>
      </w:r>
      <w:bookmarkEnd w:id="21"/>
      <w:r w:rsidRPr="00126658">
        <w:t xml:space="preserve"> </w:t>
      </w:r>
    </w:p>
    <w:p w:rsidR="00CD48F5" w:rsidRDefault="00CD48F5" w:rsidP="007B765E">
      <w:pPr>
        <w:pStyle w:val="CM1"/>
        <w:ind w:left="720"/>
        <w:contextualSpacing/>
        <w:jc w:val="both"/>
      </w:pPr>
    </w:p>
    <w:p w:rsidR="00D461C3" w:rsidRPr="00126658" w:rsidRDefault="00A30969" w:rsidP="007B765E">
      <w:pPr>
        <w:pStyle w:val="CM1"/>
        <w:ind w:left="720"/>
        <w:contextualSpacing/>
        <w:jc w:val="both"/>
      </w:pPr>
      <w:r w:rsidRPr="00126658">
        <w:t xml:space="preserve">The income for the capital fund is defined by HUD based on the funding available for the program. </w:t>
      </w:r>
    </w:p>
    <w:p w:rsidR="00A73A55" w:rsidRPr="00126658" w:rsidRDefault="001752CE" w:rsidP="00496E27">
      <w:pPr>
        <w:pStyle w:val="Header2"/>
      </w:pPr>
      <w:bookmarkStart w:id="22" w:name="_Toc266699079"/>
      <w:r>
        <w:t>G.</w:t>
      </w:r>
      <w:r>
        <w:tab/>
      </w:r>
      <w:r w:rsidR="00A30969" w:rsidRPr="00126658">
        <w:t xml:space="preserve">Section 8 </w:t>
      </w:r>
      <w:proofErr w:type="gramStart"/>
      <w:r w:rsidR="00A30969" w:rsidRPr="00126658">
        <w:t>Program</w:t>
      </w:r>
      <w:proofErr w:type="gramEnd"/>
      <w:r w:rsidR="00A30969" w:rsidRPr="00126658">
        <w:t xml:space="preserve"> – Expenses</w:t>
      </w:r>
      <w:bookmarkEnd w:id="22"/>
      <w:r w:rsidR="00A30969" w:rsidRPr="00126658">
        <w:t xml:space="preserve"> </w:t>
      </w:r>
    </w:p>
    <w:p w:rsidR="00CD48F5" w:rsidRDefault="00CD48F5" w:rsidP="007B765E">
      <w:pPr>
        <w:pStyle w:val="CM35"/>
        <w:ind w:left="1080" w:hanging="360"/>
        <w:contextualSpacing/>
        <w:jc w:val="both"/>
      </w:pPr>
    </w:p>
    <w:p w:rsidR="001752CE" w:rsidRDefault="001752CE" w:rsidP="007B765E">
      <w:pPr>
        <w:pStyle w:val="CM35"/>
        <w:ind w:left="1080" w:hanging="360"/>
        <w:contextualSpacing/>
        <w:jc w:val="both"/>
      </w:pPr>
      <w:r>
        <w:t>1.</w:t>
      </w:r>
      <w:r>
        <w:tab/>
      </w:r>
      <w:r w:rsidR="00A73A55" w:rsidRPr="00126658">
        <w:t>All expenses for the housing choice program are direct expenses related to the program. The three main non-salary expenses for the program are Housing Assistance Payments, Utility Assistance Payments and the central office administration fee.</w:t>
      </w:r>
      <w:r>
        <w:t xml:space="preserve"> </w:t>
      </w:r>
      <w:r w:rsidR="00A73A55" w:rsidRPr="00126658">
        <w:t>The central office administrative expense is charged as 20% of the total</w:t>
      </w:r>
      <w:r>
        <w:t xml:space="preserve"> </w:t>
      </w:r>
      <w:r w:rsidR="00A73A55" w:rsidRPr="00126658">
        <w:t>Housing Choice Voucher Admin fee OR $12</w:t>
      </w:r>
      <w:r w:rsidR="00B63463" w:rsidRPr="00126658">
        <w:t>.50</w:t>
      </w:r>
      <w:r w:rsidR="00A73A55" w:rsidRPr="00126658">
        <w:t xml:space="preserve"> PUM + $7.50 PUM</w:t>
      </w:r>
      <w:r>
        <w:t>.</w:t>
      </w:r>
    </w:p>
    <w:p w:rsidR="001752CE" w:rsidRDefault="001752CE" w:rsidP="007B765E">
      <w:pPr>
        <w:pStyle w:val="CM35"/>
        <w:ind w:left="1080" w:hanging="360"/>
        <w:contextualSpacing/>
        <w:jc w:val="both"/>
      </w:pPr>
    </w:p>
    <w:p w:rsidR="00D461C3" w:rsidRPr="00126658" w:rsidRDefault="00A73A55" w:rsidP="003F3717">
      <w:pPr>
        <w:pStyle w:val="CM35"/>
        <w:numPr>
          <w:ilvl w:val="0"/>
          <w:numId w:val="11"/>
        </w:numPr>
        <w:contextualSpacing/>
        <w:jc w:val="both"/>
      </w:pPr>
      <w:r w:rsidRPr="00126658">
        <w:t>The employees listed below are all directly charged to the Section 8 Program</w:t>
      </w:r>
      <w:r w:rsidR="00CE10FC">
        <w:t>:</w:t>
      </w:r>
    </w:p>
    <w:p w:rsidR="00D461C3" w:rsidRPr="00126658" w:rsidRDefault="00D461C3" w:rsidP="007B765E">
      <w:pPr>
        <w:pStyle w:val="Default"/>
        <w:contextualSpacing/>
        <w:jc w:val="both"/>
        <w:rPr>
          <w:color w:val="auto"/>
        </w:rPr>
      </w:pPr>
    </w:p>
    <w:tbl>
      <w:tblPr>
        <w:tblStyle w:val="TableGrid"/>
        <w:tblW w:w="5310" w:type="dxa"/>
        <w:tblInd w:w="2448" w:type="dxa"/>
        <w:tblLook w:val="04A0"/>
      </w:tblPr>
      <w:tblGrid>
        <w:gridCol w:w="5310"/>
      </w:tblGrid>
      <w:tr w:rsidR="001752CE" w:rsidTr="009B62E1">
        <w:tc>
          <w:tcPr>
            <w:tcW w:w="5310" w:type="dxa"/>
            <w:shd w:val="clear" w:color="auto" w:fill="D9D9D9" w:themeFill="background1" w:themeFillShade="D9"/>
            <w:vAlign w:val="center"/>
          </w:tcPr>
          <w:p w:rsidR="001752CE" w:rsidRDefault="001752CE" w:rsidP="009B62E1">
            <w:pPr>
              <w:pStyle w:val="Default"/>
              <w:contextualSpacing/>
              <w:jc w:val="center"/>
              <w:rPr>
                <w:sz w:val="20"/>
                <w:szCs w:val="20"/>
              </w:rPr>
            </w:pPr>
            <w:r>
              <w:rPr>
                <w:sz w:val="20"/>
                <w:szCs w:val="20"/>
              </w:rPr>
              <w:t>Title</w:t>
            </w:r>
          </w:p>
        </w:tc>
      </w:tr>
      <w:tr w:rsidR="001752CE" w:rsidTr="009B62E1">
        <w:tc>
          <w:tcPr>
            <w:tcW w:w="5310" w:type="dxa"/>
            <w:vAlign w:val="center"/>
          </w:tcPr>
          <w:p w:rsidR="001752CE" w:rsidRDefault="001752CE" w:rsidP="009B62E1">
            <w:pPr>
              <w:pStyle w:val="Default"/>
              <w:contextualSpacing/>
              <w:jc w:val="center"/>
              <w:rPr>
                <w:sz w:val="20"/>
                <w:szCs w:val="20"/>
              </w:rPr>
            </w:pPr>
            <w:r>
              <w:rPr>
                <w:sz w:val="20"/>
                <w:szCs w:val="20"/>
              </w:rPr>
              <w:t>Housing Inspector</w:t>
            </w:r>
          </w:p>
        </w:tc>
      </w:tr>
      <w:tr w:rsidR="001752CE" w:rsidTr="009B62E1">
        <w:tc>
          <w:tcPr>
            <w:tcW w:w="5310" w:type="dxa"/>
            <w:vAlign w:val="center"/>
          </w:tcPr>
          <w:p w:rsidR="001752CE" w:rsidRDefault="001752CE" w:rsidP="009B62E1">
            <w:pPr>
              <w:pStyle w:val="Default"/>
              <w:contextualSpacing/>
              <w:jc w:val="center"/>
              <w:rPr>
                <w:sz w:val="20"/>
                <w:szCs w:val="20"/>
              </w:rPr>
            </w:pPr>
            <w:r>
              <w:rPr>
                <w:sz w:val="20"/>
                <w:szCs w:val="20"/>
              </w:rPr>
              <w:t>Housing Specialist  (1 ½</w:t>
            </w:r>
            <w:r w:rsidR="00593AD3">
              <w:rPr>
                <w:sz w:val="20"/>
                <w:szCs w:val="20"/>
              </w:rPr>
              <w:t>; ½ charged to Hope VI</w:t>
            </w:r>
            <w:r>
              <w:rPr>
                <w:sz w:val="20"/>
                <w:szCs w:val="20"/>
              </w:rPr>
              <w:t>)</w:t>
            </w:r>
          </w:p>
        </w:tc>
      </w:tr>
    </w:tbl>
    <w:p w:rsidR="00A73A55" w:rsidRDefault="00A73A55" w:rsidP="007B765E">
      <w:pPr>
        <w:pStyle w:val="Default"/>
        <w:contextualSpacing/>
        <w:jc w:val="both"/>
        <w:rPr>
          <w:color w:val="auto"/>
        </w:rPr>
      </w:pPr>
    </w:p>
    <w:p w:rsidR="00593AD3" w:rsidRPr="00126658" w:rsidRDefault="00593AD3" w:rsidP="007B765E">
      <w:pPr>
        <w:pStyle w:val="Default"/>
        <w:contextualSpacing/>
        <w:jc w:val="both"/>
        <w:rPr>
          <w:color w:val="auto"/>
        </w:rPr>
      </w:pPr>
    </w:p>
    <w:p w:rsidR="00D461C3" w:rsidRDefault="00A30969" w:rsidP="00496E27">
      <w:pPr>
        <w:pStyle w:val="Header2"/>
      </w:pPr>
      <w:bookmarkStart w:id="23" w:name="_Toc266699080"/>
      <w:r w:rsidRPr="00126658">
        <w:t xml:space="preserve">H. </w:t>
      </w:r>
      <w:r w:rsidR="001752CE">
        <w:tab/>
      </w:r>
      <w:r w:rsidRPr="00126658">
        <w:t xml:space="preserve">Section 8 </w:t>
      </w:r>
      <w:proofErr w:type="gramStart"/>
      <w:r w:rsidRPr="00126658">
        <w:t>Program</w:t>
      </w:r>
      <w:proofErr w:type="gramEnd"/>
      <w:r w:rsidRPr="00126658">
        <w:t xml:space="preserve"> – Income</w:t>
      </w:r>
      <w:bookmarkEnd w:id="23"/>
      <w:r w:rsidRPr="00126658">
        <w:t xml:space="preserve"> </w:t>
      </w:r>
    </w:p>
    <w:p w:rsidR="00CD48F5" w:rsidRPr="00126658" w:rsidRDefault="00CD48F5" w:rsidP="007B765E">
      <w:pPr>
        <w:pStyle w:val="Style2"/>
        <w:tabs>
          <w:tab w:val="clear" w:pos="360"/>
        </w:tabs>
        <w:spacing w:after="0" w:line="240" w:lineRule="auto"/>
        <w:ind w:hanging="360"/>
        <w:contextualSpacing/>
        <w:jc w:val="both"/>
      </w:pPr>
    </w:p>
    <w:p w:rsidR="00336158" w:rsidRDefault="00A30969" w:rsidP="007B765E">
      <w:pPr>
        <w:pStyle w:val="CM34"/>
        <w:ind w:left="720" w:right="517"/>
        <w:contextualSpacing/>
        <w:jc w:val="both"/>
      </w:pPr>
      <w:r w:rsidRPr="00126658">
        <w:t>The income for the Section 8 Program is defined by HUD based on the funding available for the program and t</w:t>
      </w:r>
      <w:r w:rsidR="00593AD3">
        <w:t>he number of vouchers HATT leases up on an annual basis</w:t>
      </w:r>
      <w:r w:rsidRPr="00126658">
        <w:t>.</w:t>
      </w:r>
    </w:p>
    <w:p w:rsidR="001752CE" w:rsidRPr="001752CE" w:rsidRDefault="001752CE" w:rsidP="007B765E">
      <w:pPr>
        <w:pStyle w:val="Default"/>
        <w:contextualSpacing/>
        <w:jc w:val="both"/>
      </w:pPr>
    </w:p>
    <w:p w:rsidR="00B63463" w:rsidRDefault="00336158" w:rsidP="003F3717">
      <w:pPr>
        <w:pStyle w:val="Header2"/>
        <w:numPr>
          <w:ilvl w:val="0"/>
          <w:numId w:val="18"/>
        </w:numPr>
        <w:ind w:left="720" w:hanging="360"/>
      </w:pPr>
      <w:bookmarkStart w:id="24" w:name="_Toc266699081"/>
      <w:r w:rsidRPr="00496E27">
        <w:t>Woodbridge</w:t>
      </w:r>
      <w:r w:rsidRPr="00126658">
        <w:t xml:space="preserve"> – Expenses</w:t>
      </w:r>
      <w:bookmarkEnd w:id="24"/>
    </w:p>
    <w:p w:rsidR="00CD48F5" w:rsidRPr="00126658" w:rsidRDefault="00CD48F5" w:rsidP="007B765E">
      <w:pPr>
        <w:pStyle w:val="Style2"/>
        <w:tabs>
          <w:tab w:val="clear" w:pos="360"/>
        </w:tabs>
        <w:spacing w:after="0" w:line="240" w:lineRule="auto"/>
        <w:ind w:left="360" w:firstLine="0"/>
        <w:contextualSpacing/>
        <w:jc w:val="both"/>
      </w:pPr>
    </w:p>
    <w:p w:rsidR="00B63463" w:rsidRPr="00126658" w:rsidRDefault="00336158" w:rsidP="007B765E">
      <w:pPr>
        <w:pStyle w:val="Default"/>
        <w:ind w:left="720"/>
        <w:contextualSpacing/>
        <w:jc w:val="both"/>
      </w:pPr>
      <w:r w:rsidRPr="00126658">
        <w:t>The expenses for the Woodbridge Apartments are direct expenses related to the operation of the apartment complex as well as indirect expenses incurred by the COCC to oversee the complex.</w:t>
      </w:r>
    </w:p>
    <w:p w:rsidR="00B63463" w:rsidRPr="00126658" w:rsidRDefault="00B63463" w:rsidP="007B765E">
      <w:pPr>
        <w:pStyle w:val="Default"/>
        <w:ind w:left="360" w:hanging="360"/>
        <w:contextualSpacing/>
        <w:jc w:val="both"/>
      </w:pPr>
    </w:p>
    <w:p w:rsidR="00B63463" w:rsidRDefault="001752CE" w:rsidP="00496E27">
      <w:pPr>
        <w:pStyle w:val="Header2"/>
      </w:pPr>
      <w:bookmarkStart w:id="25" w:name="_Toc266699082"/>
      <w:r>
        <w:t>J.</w:t>
      </w:r>
      <w:r>
        <w:tab/>
      </w:r>
      <w:r w:rsidR="00336158" w:rsidRPr="00126658">
        <w:t>Woodbridge – Income</w:t>
      </w:r>
      <w:bookmarkEnd w:id="25"/>
    </w:p>
    <w:p w:rsidR="00CD48F5" w:rsidRPr="00126658" w:rsidRDefault="00CD48F5" w:rsidP="007B765E">
      <w:pPr>
        <w:pStyle w:val="Style2"/>
        <w:tabs>
          <w:tab w:val="clear" w:pos="360"/>
        </w:tabs>
        <w:spacing w:after="0" w:line="240" w:lineRule="auto"/>
        <w:ind w:hanging="360"/>
        <w:contextualSpacing/>
        <w:jc w:val="both"/>
      </w:pPr>
    </w:p>
    <w:p w:rsidR="00B63463" w:rsidRDefault="00336158" w:rsidP="007B765E">
      <w:pPr>
        <w:pStyle w:val="Default"/>
        <w:ind w:left="720"/>
        <w:contextualSpacing/>
        <w:jc w:val="both"/>
      </w:pPr>
      <w:r w:rsidRPr="00126658">
        <w:t>The income received by Woodbridge is from rent collected by the complex.  No federal funds are received for this program.</w:t>
      </w:r>
    </w:p>
    <w:p w:rsidR="00CD48F5" w:rsidRPr="00126658" w:rsidRDefault="00CD48F5" w:rsidP="007B765E">
      <w:pPr>
        <w:pStyle w:val="Default"/>
        <w:ind w:left="720"/>
        <w:contextualSpacing/>
        <w:jc w:val="both"/>
      </w:pPr>
    </w:p>
    <w:p w:rsidR="00B63463" w:rsidRDefault="00BA3BD7" w:rsidP="00496E27">
      <w:pPr>
        <w:pStyle w:val="Header2"/>
      </w:pPr>
      <w:bookmarkStart w:id="26" w:name="_Toc266699083"/>
      <w:r>
        <w:t>K.</w:t>
      </w:r>
      <w:r>
        <w:tab/>
      </w:r>
      <w:r w:rsidR="00336158" w:rsidRPr="00126658">
        <w:t>HOPE VI – Expenses</w:t>
      </w:r>
      <w:bookmarkEnd w:id="26"/>
    </w:p>
    <w:p w:rsidR="00CD48F5" w:rsidRPr="00126658" w:rsidRDefault="00CD48F5" w:rsidP="007B765E">
      <w:pPr>
        <w:pStyle w:val="Style2"/>
        <w:tabs>
          <w:tab w:val="clear" w:pos="360"/>
        </w:tabs>
        <w:spacing w:after="0" w:line="240" w:lineRule="auto"/>
        <w:ind w:hanging="360"/>
        <w:contextualSpacing/>
        <w:jc w:val="both"/>
      </w:pPr>
    </w:p>
    <w:p w:rsidR="00B63463" w:rsidRPr="00126658" w:rsidRDefault="00336158" w:rsidP="007B765E">
      <w:pPr>
        <w:pStyle w:val="Default"/>
        <w:ind w:left="720"/>
        <w:contextualSpacing/>
        <w:jc w:val="both"/>
      </w:pPr>
      <w:r w:rsidRPr="00126658">
        <w:t xml:space="preserve">The expenses charged to the HOPE VI program are for the demolition and reconstruction of public housing, relocation of tenants and for Community Support Services provided to the tenants affected by the transition. </w:t>
      </w:r>
    </w:p>
    <w:p w:rsidR="00BA3BD7" w:rsidRDefault="00BA3BD7" w:rsidP="007B765E">
      <w:pPr>
        <w:pStyle w:val="Style2"/>
        <w:spacing w:after="0" w:line="240" w:lineRule="auto"/>
        <w:ind w:left="0" w:firstLine="0"/>
        <w:contextualSpacing/>
        <w:jc w:val="both"/>
      </w:pPr>
    </w:p>
    <w:p w:rsidR="00B63463" w:rsidRDefault="00BA3BD7" w:rsidP="00496E27">
      <w:pPr>
        <w:pStyle w:val="Header2"/>
      </w:pPr>
      <w:bookmarkStart w:id="27" w:name="_Toc266699084"/>
      <w:r>
        <w:t>L.</w:t>
      </w:r>
      <w:r>
        <w:tab/>
      </w:r>
      <w:r w:rsidR="00336158" w:rsidRPr="00126658">
        <w:t>HOPE VI – Income</w:t>
      </w:r>
      <w:bookmarkEnd w:id="27"/>
    </w:p>
    <w:p w:rsidR="00CD48F5" w:rsidRPr="00126658" w:rsidRDefault="00CD48F5" w:rsidP="007B765E">
      <w:pPr>
        <w:pStyle w:val="Style2"/>
        <w:tabs>
          <w:tab w:val="clear" w:pos="360"/>
        </w:tabs>
        <w:spacing w:after="0" w:line="240" w:lineRule="auto"/>
        <w:ind w:hanging="360"/>
        <w:contextualSpacing/>
        <w:jc w:val="both"/>
      </w:pPr>
    </w:p>
    <w:p w:rsidR="00B63463" w:rsidRPr="00126658" w:rsidRDefault="00336158" w:rsidP="007B765E">
      <w:pPr>
        <w:pStyle w:val="Default"/>
        <w:ind w:left="720"/>
        <w:contextualSpacing/>
        <w:jc w:val="both"/>
      </w:pPr>
      <w:r w:rsidRPr="00126658">
        <w:t>The HOPE VI Grant is $20,000,000.  These funds are leveraged with various other sources to fund the entire HOPE VI project.</w:t>
      </w:r>
    </w:p>
    <w:p w:rsidR="000F4850" w:rsidRPr="00126658" w:rsidRDefault="000F4850" w:rsidP="007B765E">
      <w:pPr>
        <w:pStyle w:val="CM34"/>
        <w:ind w:right="517"/>
        <w:contextualSpacing/>
        <w:jc w:val="both"/>
      </w:pPr>
    </w:p>
    <w:p w:rsidR="009856C7" w:rsidRDefault="00BE3A48" w:rsidP="00496E27">
      <w:pPr>
        <w:pStyle w:val="Header2"/>
      </w:pPr>
      <w:bookmarkStart w:id="28" w:name="_Toc266699085"/>
      <w:r>
        <w:lastRenderedPageBreak/>
        <w:t>M</w:t>
      </w:r>
      <w:r w:rsidR="00336158" w:rsidRPr="00126658">
        <w:t>.</w:t>
      </w:r>
      <w:r>
        <w:tab/>
      </w:r>
      <w:r w:rsidR="00A30969" w:rsidRPr="00126658">
        <w:t>Unallowable Costs</w:t>
      </w:r>
      <w:bookmarkEnd w:id="28"/>
    </w:p>
    <w:p w:rsidR="002D4ACD" w:rsidRPr="00126658" w:rsidRDefault="00A30969" w:rsidP="007B765E">
      <w:pPr>
        <w:pStyle w:val="Style2"/>
        <w:spacing w:after="0" w:line="240" w:lineRule="auto"/>
        <w:contextualSpacing/>
        <w:jc w:val="both"/>
      </w:pPr>
      <w:r w:rsidRPr="00126658">
        <w:t xml:space="preserve"> </w:t>
      </w:r>
    </w:p>
    <w:p w:rsidR="002D4ACD" w:rsidRDefault="00A30969" w:rsidP="007B765E">
      <w:pPr>
        <w:pStyle w:val="CM34"/>
        <w:ind w:left="720" w:right="517"/>
        <w:contextualSpacing/>
        <w:jc w:val="both"/>
      </w:pPr>
      <w:r w:rsidRPr="00126658">
        <w:t xml:space="preserve">HATT recognizes that certain costs are unallowable charges and has internal controls </w:t>
      </w:r>
      <w:r w:rsidR="003C283D">
        <w:t xml:space="preserve">referenced in the Internal Control Policy </w:t>
      </w:r>
      <w:r w:rsidRPr="00126658">
        <w:t xml:space="preserve">to ensure that such costs are not charged. Some examples of unallowable costs are: </w:t>
      </w:r>
    </w:p>
    <w:p w:rsidR="00BE3A48" w:rsidRDefault="00BE3A48" w:rsidP="003F3717">
      <w:pPr>
        <w:pStyle w:val="Default"/>
        <w:numPr>
          <w:ilvl w:val="0"/>
          <w:numId w:val="12"/>
        </w:numPr>
        <w:tabs>
          <w:tab w:val="left" w:pos="1080"/>
        </w:tabs>
        <w:contextualSpacing/>
        <w:jc w:val="both"/>
        <w:rPr>
          <w:color w:val="auto"/>
        </w:rPr>
      </w:pPr>
      <w:r>
        <w:rPr>
          <w:color w:val="auto"/>
        </w:rPr>
        <w:t>C</w:t>
      </w:r>
      <w:r w:rsidR="00A30969" w:rsidRPr="00126658">
        <w:rPr>
          <w:color w:val="auto"/>
        </w:rPr>
        <w:t>ontingency provisions</w:t>
      </w:r>
    </w:p>
    <w:p w:rsidR="00BE3A48" w:rsidRDefault="00BE3A48" w:rsidP="007B765E">
      <w:pPr>
        <w:pStyle w:val="Default"/>
        <w:tabs>
          <w:tab w:val="left" w:pos="1080"/>
        </w:tabs>
        <w:ind w:left="1080"/>
        <w:contextualSpacing/>
        <w:jc w:val="both"/>
        <w:rPr>
          <w:color w:val="auto"/>
        </w:rPr>
      </w:pPr>
    </w:p>
    <w:p w:rsidR="00BE3A48" w:rsidRDefault="00BE3A48" w:rsidP="003F3717">
      <w:pPr>
        <w:pStyle w:val="Default"/>
        <w:numPr>
          <w:ilvl w:val="0"/>
          <w:numId w:val="12"/>
        </w:numPr>
        <w:tabs>
          <w:tab w:val="left" w:pos="1080"/>
        </w:tabs>
        <w:contextualSpacing/>
        <w:jc w:val="both"/>
        <w:rPr>
          <w:color w:val="auto"/>
        </w:rPr>
      </w:pPr>
      <w:r>
        <w:rPr>
          <w:color w:val="auto"/>
        </w:rPr>
        <w:t>L</w:t>
      </w:r>
      <w:r w:rsidR="00A30969" w:rsidRPr="00126658">
        <w:rPr>
          <w:color w:val="auto"/>
        </w:rPr>
        <w:t xml:space="preserve">egal costs for defense of any civil or criminal fraud proceeding </w:t>
      </w:r>
    </w:p>
    <w:p w:rsidR="00BE3A48" w:rsidRDefault="00BE3A48" w:rsidP="007B765E">
      <w:pPr>
        <w:pStyle w:val="Default"/>
        <w:tabs>
          <w:tab w:val="left" w:pos="1080"/>
        </w:tabs>
        <w:contextualSpacing/>
        <w:jc w:val="both"/>
        <w:rPr>
          <w:color w:val="auto"/>
        </w:rPr>
      </w:pPr>
    </w:p>
    <w:p w:rsidR="00B00901" w:rsidRDefault="00BE3A48" w:rsidP="003F3717">
      <w:pPr>
        <w:pStyle w:val="Default"/>
        <w:numPr>
          <w:ilvl w:val="0"/>
          <w:numId w:val="12"/>
        </w:numPr>
        <w:tabs>
          <w:tab w:val="left" w:pos="1080"/>
        </w:tabs>
        <w:contextualSpacing/>
        <w:jc w:val="both"/>
        <w:rPr>
          <w:color w:val="auto"/>
        </w:rPr>
      </w:pPr>
      <w:r>
        <w:rPr>
          <w:color w:val="auto"/>
        </w:rPr>
        <w:t>D</w:t>
      </w:r>
      <w:r w:rsidR="00A30969" w:rsidRPr="00BE3A48">
        <w:rPr>
          <w:color w:val="auto"/>
        </w:rPr>
        <w:t>onations and contributions</w:t>
      </w:r>
    </w:p>
    <w:p w:rsidR="009856C7" w:rsidRDefault="009856C7" w:rsidP="007B765E">
      <w:pPr>
        <w:pStyle w:val="Default"/>
        <w:tabs>
          <w:tab w:val="left" w:pos="1080"/>
        </w:tabs>
        <w:contextualSpacing/>
        <w:jc w:val="both"/>
        <w:rPr>
          <w:color w:val="auto"/>
        </w:rPr>
      </w:pPr>
    </w:p>
    <w:p w:rsidR="00B00901" w:rsidRDefault="009856C7" w:rsidP="003F3717">
      <w:pPr>
        <w:pStyle w:val="Default"/>
        <w:numPr>
          <w:ilvl w:val="0"/>
          <w:numId w:val="12"/>
        </w:numPr>
        <w:tabs>
          <w:tab w:val="left" w:pos="1080"/>
        </w:tabs>
        <w:contextualSpacing/>
        <w:jc w:val="both"/>
        <w:rPr>
          <w:color w:val="auto"/>
        </w:rPr>
      </w:pPr>
      <w:r>
        <w:rPr>
          <w:color w:val="auto"/>
        </w:rPr>
        <w:t>F</w:t>
      </w:r>
      <w:r w:rsidR="00B00901">
        <w:rPr>
          <w:color w:val="auto"/>
        </w:rPr>
        <w:t>ines and Penalties</w:t>
      </w:r>
    </w:p>
    <w:p w:rsidR="00B00901" w:rsidRDefault="00B00901" w:rsidP="007B765E">
      <w:pPr>
        <w:pStyle w:val="Default"/>
        <w:tabs>
          <w:tab w:val="left" w:pos="1080"/>
        </w:tabs>
        <w:contextualSpacing/>
        <w:jc w:val="both"/>
        <w:rPr>
          <w:color w:val="auto"/>
        </w:rPr>
      </w:pPr>
    </w:p>
    <w:p w:rsidR="00B00901" w:rsidRDefault="00B00901" w:rsidP="003F3717">
      <w:pPr>
        <w:pStyle w:val="Default"/>
        <w:numPr>
          <w:ilvl w:val="0"/>
          <w:numId w:val="12"/>
        </w:numPr>
        <w:tabs>
          <w:tab w:val="left" w:pos="1080"/>
        </w:tabs>
        <w:contextualSpacing/>
        <w:jc w:val="both"/>
        <w:rPr>
          <w:color w:val="auto"/>
        </w:rPr>
      </w:pPr>
      <w:r>
        <w:rPr>
          <w:color w:val="auto"/>
        </w:rPr>
        <w:t>Lobbying</w:t>
      </w:r>
    </w:p>
    <w:p w:rsidR="00CE10FC" w:rsidRDefault="00CE10FC" w:rsidP="007B765E">
      <w:pPr>
        <w:pStyle w:val="Default"/>
        <w:tabs>
          <w:tab w:val="left" w:pos="1080"/>
        </w:tabs>
        <w:contextualSpacing/>
        <w:jc w:val="both"/>
        <w:rPr>
          <w:color w:val="auto"/>
        </w:rPr>
      </w:pPr>
    </w:p>
    <w:p w:rsidR="0008554D" w:rsidRDefault="0008554D" w:rsidP="007B765E">
      <w:pPr>
        <w:pStyle w:val="ListParagraph"/>
        <w:spacing w:after="0" w:line="240" w:lineRule="auto"/>
        <w:jc w:val="both"/>
      </w:pPr>
    </w:p>
    <w:p w:rsidR="0008554D" w:rsidRDefault="00CD48F5" w:rsidP="00496E27">
      <w:pPr>
        <w:pStyle w:val="Header1"/>
      </w:pPr>
      <w:bookmarkStart w:id="29" w:name="_Toc266699086"/>
      <w:r w:rsidRPr="00CD48F5">
        <w:t>CURRENT GUIDANCE ON COST ASSIGNMENT</w:t>
      </w:r>
      <w:r w:rsidR="00B86A32" w:rsidRPr="00B86A32">
        <w:rPr>
          <w:vertAlign w:val="superscript"/>
        </w:rPr>
        <w:t>1</w:t>
      </w:r>
      <w:bookmarkEnd w:id="29"/>
    </w:p>
    <w:p w:rsidR="00CD48F5" w:rsidRDefault="00CD48F5" w:rsidP="007B765E">
      <w:pPr>
        <w:pStyle w:val="Default"/>
        <w:tabs>
          <w:tab w:val="left" w:pos="360"/>
        </w:tabs>
        <w:ind w:left="360" w:hanging="360"/>
        <w:contextualSpacing/>
        <w:jc w:val="both"/>
        <w:rPr>
          <w:color w:val="auto"/>
        </w:rPr>
      </w:pPr>
    </w:p>
    <w:p w:rsidR="00CD48F5" w:rsidRDefault="00B86A32" w:rsidP="007B765E">
      <w:pPr>
        <w:pStyle w:val="Default"/>
        <w:tabs>
          <w:tab w:val="left" w:pos="360"/>
        </w:tabs>
        <w:ind w:left="360" w:hanging="360"/>
        <w:contextualSpacing/>
        <w:jc w:val="both"/>
        <w:rPr>
          <w:color w:val="auto"/>
        </w:rPr>
      </w:pPr>
      <w:r>
        <w:rPr>
          <w:color w:val="auto"/>
        </w:rPr>
        <w:tab/>
        <w:t xml:space="preserve">The following chart is intended as a preliminary guide for PHAs in assigning costs as either a front-line expense or a management fee expense. For simplification purposes, the term “management fee” in this context includes the bookkeeping fee. </w:t>
      </w:r>
    </w:p>
    <w:p w:rsidR="00B86A32" w:rsidRDefault="00B86A32" w:rsidP="007B765E">
      <w:pPr>
        <w:pStyle w:val="Default"/>
        <w:tabs>
          <w:tab w:val="left" w:pos="360"/>
        </w:tabs>
        <w:ind w:left="360" w:hanging="360"/>
        <w:contextualSpacing/>
        <w:jc w:val="both"/>
        <w:rPr>
          <w:color w:val="auto"/>
        </w:rPr>
      </w:pPr>
    </w:p>
    <w:tbl>
      <w:tblPr>
        <w:tblStyle w:val="TableGrid"/>
        <w:tblW w:w="10620" w:type="dxa"/>
        <w:tblInd w:w="-72" w:type="dxa"/>
        <w:tblLook w:val="04A0"/>
      </w:tblPr>
      <w:tblGrid>
        <w:gridCol w:w="2520"/>
        <w:gridCol w:w="8100"/>
      </w:tblGrid>
      <w:tr w:rsidR="00B86A32" w:rsidTr="00593AD3">
        <w:tc>
          <w:tcPr>
            <w:tcW w:w="2520" w:type="dxa"/>
            <w:shd w:val="clear" w:color="auto" w:fill="D9D9D9" w:themeFill="background1" w:themeFillShade="D9"/>
            <w:vAlign w:val="center"/>
          </w:tcPr>
          <w:p w:rsidR="00B86A32" w:rsidRDefault="00B86A32" w:rsidP="00593AD3">
            <w:pPr>
              <w:pStyle w:val="Default"/>
              <w:rPr>
                <w:sz w:val="23"/>
                <w:szCs w:val="23"/>
              </w:rPr>
            </w:pPr>
            <w:r>
              <w:rPr>
                <w:sz w:val="23"/>
                <w:szCs w:val="23"/>
              </w:rPr>
              <w:t xml:space="preserve">Activity/Expense </w:t>
            </w:r>
          </w:p>
        </w:tc>
        <w:tc>
          <w:tcPr>
            <w:tcW w:w="8100" w:type="dxa"/>
            <w:shd w:val="clear" w:color="auto" w:fill="D9D9D9" w:themeFill="background1" w:themeFillShade="D9"/>
            <w:vAlign w:val="center"/>
          </w:tcPr>
          <w:p w:rsidR="00B86A32" w:rsidRDefault="00B86A32" w:rsidP="00593AD3">
            <w:pPr>
              <w:pStyle w:val="Default"/>
              <w:rPr>
                <w:sz w:val="23"/>
                <w:szCs w:val="23"/>
              </w:rPr>
            </w:pPr>
            <w:r>
              <w:rPr>
                <w:sz w:val="23"/>
                <w:szCs w:val="23"/>
              </w:rPr>
              <w:t xml:space="preserve">Assignment of Cost </w:t>
            </w:r>
          </w:p>
        </w:tc>
      </w:tr>
      <w:tr w:rsidR="00B86A32" w:rsidTr="00593AD3">
        <w:trPr>
          <w:trHeight w:val="602"/>
        </w:trPr>
        <w:tc>
          <w:tcPr>
            <w:tcW w:w="2520" w:type="dxa"/>
            <w:vAlign w:val="center"/>
          </w:tcPr>
          <w:p w:rsidR="00B86A32" w:rsidRDefault="00593AD3" w:rsidP="00593AD3">
            <w:pPr>
              <w:pStyle w:val="Default"/>
              <w:rPr>
                <w:color w:val="201C1D"/>
                <w:sz w:val="20"/>
                <w:szCs w:val="20"/>
              </w:rPr>
            </w:pPr>
            <w:r>
              <w:rPr>
                <w:color w:val="201C1D"/>
                <w:sz w:val="20"/>
                <w:szCs w:val="20"/>
              </w:rPr>
              <w:t xml:space="preserve">General </w:t>
            </w:r>
            <w:r w:rsidR="00B86A32">
              <w:rPr>
                <w:color w:val="201C1D"/>
                <w:sz w:val="20"/>
                <w:szCs w:val="20"/>
              </w:rPr>
              <w:t xml:space="preserve">Corporate Oversight </w:t>
            </w:r>
          </w:p>
        </w:tc>
        <w:tc>
          <w:tcPr>
            <w:tcW w:w="8100" w:type="dxa"/>
            <w:vAlign w:val="center"/>
          </w:tcPr>
          <w:p w:rsidR="00B86A32" w:rsidRDefault="00B86A32" w:rsidP="00593AD3">
            <w:pPr>
              <w:pStyle w:val="Default"/>
              <w:rPr>
                <w:color w:val="201C1D"/>
                <w:sz w:val="20"/>
                <w:szCs w:val="20"/>
              </w:rPr>
            </w:pPr>
            <w:r>
              <w:rPr>
                <w:color w:val="201C1D"/>
                <w:sz w:val="20"/>
                <w:szCs w:val="20"/>
              </w:rPr>
              <w:t xml:space="preserve">Management fee expense. </w:t>
            </w:r>
          </w:p>
        </w:tc>
      </w:tr>
      <w:tr w:rsidR="00B86A32" w:rsidTr="00593AD3">
        <w:trPr>
          <w:trHeight w:val="818"/>
        </w:trPr>
        <w:tc>
          <w:tcPr>
            <w:tcW w:w="2520" w:type="dxa"/>
            <w:vAlign w:val="center"/>
          </w:tcPr>
          <w:p w:rsidR="00B86A32" w:rsidRDefault="00B86A32" w:rsidP="00593AD3">
            <w:pPr>
              <w:pStyle w:val="Default"/>
              <w:rPr>
                <w:color w:val="201C1D"/>
                <w:sz w:val="20"/>
                <w:szCs w:val="20"/>
              </w:rPr>
            </w:pPr>
            <w:r>
              <w:rPr>
                <w:color w:val="201C1D"/>
                <w:sz w:val="20"/>
                <w:szCs w:val="20"/>
              </w:rPr>
              <w:t xml:space="preserve">Human Resources </w:t>
            </w:r>
          </w:p>
        </w:tc>
        <w:tc>
          <w:tcPr>
            <w:tcW w:w="8100" w:type="dxa"/>
            <w:vAlign w:val="center"/>
          </w:tcPr>
          <w:p w:rsidR="00B86A32" w:rsidRDefault="00B86A32" w:rsidP="00593AD3">
            <w:pPr>
              <w:pStyle w:val="Default"/>
              <w:rPr>
                <w:color w:val="201C1D"/>
                <w:sz w:val="20"/>
                <w:szCs w:val="20"/>
              </w:rPr>
            </w:pPr>
            <w:r>
              <w:rPr>
                <w:color w:val="201C1D"/>
                <w:sz w:val="20"/>
                <w:szCs w:val="20"/>
              </w:rPr>
              <w:t>PHAs can charge projects for the cost of advertising, drug</w:t>
            </w:r>
            <w:r>
              <w:rPr>
                <w:color w:val="201C1D"/>
                <w:sz w:val="20"/>
                <w:szCs w:val="20"/>
              </w:rPr>
              <w:softHyphen/>
              <w:t xml:space="preserve"> testing, and other direct costs incurred centrally for front</w:t>
            </w:r>
            <w:r>
              <w:rPr>
                <w:color w:val="201C1D"/>
                <w:sz w:val="20"/>
                <w:szCs w:val="20"/>
              </w:rPr>
              <w:softHyphen/>
              <w:t>line staff. With HUD approval, fees for extraordinary union negotiations can be charged to projects as front</w:t>
            </w:r>
            <w:r>
              <w:rPr>
                <w:color w:val="201C1D"/>
                <w:sz w:val="20"/>
                <w:szCs w:val="20"/>
              </w:rPr>
              <w:softHyphen/>
              <w:t xml:space="preserve">line expenses. </w:t>
            </w:r>
          </w:p>
        </w:tc>
      </w:tr>
      <w:tr w:rsidR="00B86A32" w:rsidTr="00593AD3">
        <w:trPr>
          <w:trHeight w:val="341"/>
        </w:trPr>
        <w:tc>
          <w:tcPr>
            <w:tcW w:w="2520" w:type="dxa"/>
            <w:vAlign w:val="center"/>
          </w:tcPr>
          <w:p w:rsidR="00B86A32" w:rsidRDefault="00B86A32" w:rsidP="00593AD3">
            <w:pPr>
              <w:pStyle w:val="Default"/>
              <w:rPr>
                <w:color w:val="201C1D"/>
                <w:sz w:val="20"/>
                <w:szCs w:val="20"/>
              </w:rPr>
            </w:pPr>
            <w:r>
              <w:rPr>
                <w:color w:val="201C1D"/>
                <w:sz w:val="20"/>
                <w:szCs w:val="20"/>
              </w:rPr>
              <w:t xml:space="preserve">Regional Management </w:t>
            </w:r>
          </w:p>
        </w:tc>
        <w:tc>
          <w:tcPr>
            <w:tcW w:w="8100" w:type="dxa"/>
            <w:vAlign w:val="center"/>
          </w:tcPr>
          <w:p w:rsidR="00B86A32" w:rsidRDefault="00B86A32" w:rsidP="00593AD3">
            <w:pPr>
              <w:pStyle w:val="Default"/>
              <w:rPr>
                <w:color w:val="201C1D"/>
                <w:sz w:val="20"/>
                <w:szCs w:val="20"/>
              </w:rPr>
            </w:pPr>
            <w:r>
              <w:rPr>
                <w:color w:val="201C1D"/>
                <w:sz w:val="20"/>
                <w:szCs w:val="20"/>
              </w:rPr>
              <w:t xml:space="preserve">Management fee expense. </w:t>
            </w:r>
          </w:p>
        </w:tc>
      </w:tr>
      <w:tr w:rsidR="00B86A32" w:rsidTr="00593AD3">
        <w:trPr>
          <w:trHeight w:val="1070"/>
        </w:trPr>
        <w:tc>
          <w:tcPr>
            <w:tcW w:w="2520" w:type="dxa"/>
            <w:vAlign w:val="center"/>
          </w:tcPr>
          <w:p w:rsidR="00B86A32" w:rsidRDefault="00B86A32" w:rsidP="00593AD3">
            <w:pPr>
              <w:pStyle w:val="Default"/>
              <w:rPr>
                <w:color w:val="201C1D"/>
                <w:sz w:val="20"/>
                <w:szCs w:val="20"/>
              </w:rPr>
            </w:pPr>
            <w:r>
              <w:rPr>
                <w:color w:val="201C1D"/>
                <w:sz w:val="20"/>
                <w:szCs w:val="20"/>
              </w:rPr>
              <w:t xml:space="preserve">Corporate Legal </w:t>
            </w:r>
          </w:p>
        </w:tc>
        <w:tc>
          <w:tcPr>
            <w:tcW w:w="8100" w:type="dxa"/>
            <w:vAlign w:val="center"/>
          </w:tcPr>
          <w:p w:rsidR="00B86A32" w:rsidRDefault="00B86A32" w:rsidP="00593AD3">
            <w:pPr>
              <w:pStyle w:val="Default"/>
              <w:rPr>
                <w:color w:val="201C1D"/>
                <w:sz w:val="20"/>
                <w:szCs w:val="20"/>
              </w:rPr>
            </w:pPr>
            <w:r>
              <w:rPr>
                <w:color w:val="201C1D"/>
                <w:sz w:val="20"/>
                <w:szCs w:val="20"/>
              </w:rPr>
              <w:t>Only legal expenses directly related to the operation of a project – e.g., eviction services, tenant grievances, landlord/</w:t>
            </w:r>
            <w:r>
              <w:rPr>
                <w:color w:val="201C1D"/>
                <w:sz w:val="20"/>
                <w:szCs w:val="20"/>
              </w:rPr>
              <w:softHyphen/>
              <w:t>tenant disputes, etc. – can be charged to the project as a front</w:t>
            </w:r>
            <w:r>
              <w:rPr>
                <w:color w:val="201C1D"/>
                <w:sz w:val="20"/>
                <w:szCs w:val="20"/>
              </w:rPr>
              <w:softHyphen/>
              <w:t>line expense. Projects cannot be charged legal “retainers.” Any charges to the project for in</w:t>
            </w:r>
            <w:r>
              <w:rPr>
                <w:color w:val="201C1D"/>
                <w:sz w:val="20"/>
                <w:szCs w:val="20"/>
              </w:rPr>
              <w:softHyphen/>
            </w:r>
            <w:r w:rsidR="00593AD3">
              <w:rPr>
                <w:color w:val="201C1D"/>
                <w:sz w:val="20"/>
                <w:szCs w:val="20"/>
              </w:rPr>
              <w:t>-</w:t>
            </w:r>
            <w:r>
              <w:rPr>
                <w:color w:val="201C1D"/>
                <w:sz w:val="20"/>
                <w:szCs w:val="20"/>
              </w:rPr>
              <w:t xml:space="preserve">house legal staff must be based on the services received/timesheets. </w:t>
            </w:r>
          </w:p>
        </w:tc>
      </w:tr>
      <w:tr w:rsidR="00B86A32" w:rsidTr="00593AD3">
        <w:trPr>
          <w:trHeight w:val="341"/>
        </w:trPr>
        <w:tc>
          <w:tcPr>
            <w:tcW w:w="2520" w:type="dxa"/>
            <w:vAlign w:val="center"/>
          </w:tcPr>
          <w:p w:rsidR="00B86A32" w:rsidRDefault="00B86A32" w:rsidP="00593AD3">
            <w:pPr>
              <w:pStyle w:val="Default"/>
              <w:rPr>
                <w:color w:val="201C1D"/>
                <w:sz w:val="20"/>
                <w:szCs w:val="20"/>
              </w:rPr>
            </w:pPr>
            <w:r>
              <w:rPr>
                <w:color w:val="201C1D"/>
                <w:sz w:val="20"/>
                <w:szCs w:val="20"/>
              </w:rPr>
              <w:t xml:space="preserve">Project Accounting </w:t>
            </w:r>
          </w:p>
        </w:tc>
        <w:tc>
          <w:tcPr>
            <w:tcW w:w="8100" w:type="dxa"/>
            <w:vAlign w:val="center"/>
          </w:tcPr>
          <w:p w:rsidR="00B86A32" w:rsidRDefault="00B86A32" w:rsidP="00593AD3">
            <w:pPr>
              <w:pStyle w:val="Default"/>
              <w:rPr>
                <w:color w:val="201C1D"/>
                <w:sz w:val="20"/>
                <w:szCs w:val="20"/>
              </w:rPr>
            </w:pPr>
            <w:r>
              <w:rPr>
                <w:color w:val="201C1D"/>
                <w:sz w:val="20"/>
                <w:szCs w:val="20"/>
              </w:rPr>
              <w:t xml:space="preserve">Management fee expense. </w:t>
            </w:r>
          </w:p>
        </w:tc>
      </w:tr>
      <w:tr w:rsidR="00B86A32" w:rsidTr="00593AD3">
        <w:trPr>
          <w:trHeight w:val="1952"/>
        </w:trPr>
        <w:tc>
          <w:tcPr>
            <w:tcW w:w="2520" w:type="dxa"/>
            <w:vAlign w:val="center"/>
          </w:tcPr>
          <w:p w:rsidR="00B86A32" w:rsidRDefault="00B86A32" w:rsidP="00593AD3">
            <w:pPr>
              <w:pStyle w:val="Default"/>
              <w:rPr>
                <w:color w:val="201C1D"/>
                <w:sz w:val="20"/>
                <w:szCs w:val="20"/>
              </w:rPr>
            </w:pPr>
            <w:r>
              <w:rPr>
                <w:color w:val="201C1D"/>
                <w:sz w:val="20"/>
                <w:szCs w:val="20"/>
              </w:rPr>
              <w:t xml:space="preserve">Information Technology </w:t>
            </w:r>
          </w:p>
        </w:tc>
        <w:tc>
          <w:tcPr>
            <w:tcW w:w="8100" w:type="dxa"/>
            <w:vAlign w:val="center"/>
          </w:tcPr>
          <w:p w:rsidR="00B86A32" w:rsidRDefault="00B86A32" w:rsidP="00593AD3">
            <w:pPr>
              <w:pStyle w:val="Default"/>
              <w:rPr>
                <w:color w:val="201C1D"/>
                <w:sz w:val="20"/>
                <w:szCs w:val="20"/>
              </w:rPr>
            </w:pPr>
            <w:r>
              <w:rPr>
                <w:color w:val="201C1D"/>
                <w:sz w:val="20"/>
                <w:szCs w:val="20"/>
              </w:rPr>
              <w:t>All sites with computers can be charged directly for annual software/hardware purchase, upgrades, repairs, Internet access and training of site personnel. License agreements and maintenance service contracts for front</w:t>
            </w:r>
            <w:r>
              <w:rPr>
                <w:color w:val="201C1D"/>
                <w:sz w:val="20"/>
                <w:szCs w:val="20"/>
              </w:rPr>
              <w:softHyphen/>
              <w:t>line equipment can be charged as a front</w:t>
            </w:r>
            <w:r>
              <w:rPr>
                <w:color w:val="201C1D"/>
                <w:sz w:val="20"/>
                <w:szCs w:val="20"/>
              </w:rPr>
              <w:softHyphen/>
              <w:t>line cost based on a reasonable proration. Additionally, PHAs can charge each project the cost of repairs to front</w:t>
            </w:r>
            <w:r>
              <w:rPr>
                <w:color w:val="201C1D"/>
                <w:sz w:val="20"/>
                <w:szCs w:val="20"/>
              </w:rPr>
              <w:softHyphen/>
              <w:t xml:space="preserve">line equipment by central staff, based on actual work performed. All other costs, including the full cost of the help desk, are to be paid from the management fee. Central servers and software that support the central office (not projects) should be recovered through management fees. </w:t>
            </w:r>
          </w:p>
        </w:tc>
      </w:tr>
      <w:tr w:rsidR="00B86A32" w:rsidTr="00593AD3">
        <w:trPr>
          <w:trHeight w:val="791"/>
        </w:trPr>
        <w:tc>
          <w:tcPr>
            <w:tcW w:w="2520" w:type="dxa"/>
            <w:vAlign w:val="center"/>
          </w:tcPr>
          <w:p w:rsidR="00B86A32" w:rsidRDefault="00B86A32" w:rsidP="00593AD3">
            <w:pPr>
              <w:pStyle w:val="Default"/>
              <w:rPr>
                <w:color w:val="201C1D"/>
                <w:sz w:val="20"/>
                <w:szCs w:val="20"/>
              </w:rPr>
            </w:pPr>
            <w:r>
              <w:rPr>
                <w:color w:val="201C1D"/>
                <w:sz w:val="20"/>
                <w:szCs w:val="20"/>
              </w:rPr>
              <w:t xml:space="preserve">Risk Management </w:t>
            </w:r>
          </w:p>
        </w:tc>
        <w:tc>
          <w:tcPr>
            <w:tcW w:w="8100" w:type="dxa"/>
            <w:vAlign w:val="center"/>
          </w:tcPr>
          <w:p w:rsidR="00B86A32" w:rsidRDefault="00B86A32" w:rsidP="00593AD3">
            <w:pPr>
              <w:pStyle w:val="Default"/>
              <w:rPr>
                <w:color w:val="201C1D"/>
                <w:sz w:val="20"/>
                <w:szCs w:val="20"/>
              </w:rPr>
            </w:pPr>
            <w:r>
              <w:rPr>
                <w:color w:val="201C1D"/>
                <w:sz w:val="20"/>
                <w:szCs w:val="20"/>
              </w:rPr>
              <w:t>Costs of central risk management personnel are paid from the management fee; however, any premiums or self</w:t>
            </w:r>
            <w:r>
              <w:rPr>
                <w:color w:val="201C1D"/>
                <w:sz w:val="20"/>
                <w:szCs w:val="20"/>
              </w:rPr>
              <w:softHyphen/>
            </w:r>
            <w:r w:rsidR="00593AD3">
              <w:rPr>
                <w:color w:val="201C1D"/>
                <w:sz w:val="20"/>
                <w:szCs w:val="20"/>
              </w:rPr>
              <w:t>-</w:t>
            </w:r>
            <w:r>
              <w:rPr>
                <w:color w:val="201C1D"/>
                <w:sz w:val="20"/>
                <w:szCs w:val="20"/>
              </w:rPr>
              <w:t>insured retentions that are project</w:t>
            </w:r>
            <w:r>
              <w:rPr>
                <w:color w:val="201C1D"/>
                <w:sz w:val="20"/>
                <w:szCs w:val="20"/>
              </w:rPr>
              <w:softHyphen/>
              <w:t xml:space="preserve"> specific should be charged as a front</w:t>
            </w:r>
            <w:r>
              <w:rPr>
                <w:color w:val="201C1D"/>
                <w:sz w:val="20"/>
                <w:szCs w:val="20"/>
              </w:rPr>
              <w:softHyphen/>
              <w:t xml:space="preserve">line cost. </w:t>
            </w:r>
          </w:p>
        </w:tc>
      </w:tr>
    </w:tbl>
    <w:p w:rsidR="00593AD3" w:rsidRDefault="00593AD3" w:rsidP="007B765E">
      <w:pPr>
        <w:pStyle w:val="Default"/>
        <w:jc w:val="both"/>
        <w:rPr>
          <w:position w:val="10"/>
          <w:vertAlign w:val="superscript"/>
        </w:rPr>
      </w:pPr>
    </w:p>
    <w:p w:rsidR="00EB7E6C" w:rsidRDefault="00EB7E6C" w:rsidP="007B765E">
      <w:pPr>
        <w:pStyle w:val="Default"/>
        <w:jc w:val="both"/>
        <w:rPr>
          <w:position w:val="10"/>
          <w:vertAlign w:val="superscript"/>
        </w:rPr>
      </w:pPr>
    </w:p>
    <w:p w:rsidR="00EB7E6C" w:rsidRDefault="00EB7E6C" w:rsidP="007B765E">
      <w:pPr>
        <w:pStyle w:val="Default"/>
        <w:jc w:val="both"/>
        <w:rPr>
          <w:position w:val="10"/>
          <w:vertAlign w:val="superscript"/>
        </w:rPr>
      </w:pPr>
    </w:p>
    <w:p w:rsidR="00EB7E6C" w:rsidRDefault="00EB7E6C" w:rsidP="007B765E">
      <w:pPr>
        <w:pStyle w:val="Default"/>
        <w:jc w:val="both"/>
        <w:rPr>
          <w:position w:val="10"/>
          <w:vertAlign w:val="superscript"/>
        </w:rPr>
      </w:pPr>
    </w:p>
    <w:p w:rsidR="00B86A32" w:rsidRDefault="00B86A32" w:rsidP="007B765E">
      <w:pPr>
        <w:pStyle w:val="Default"/>
        <w:jc w:val="both"/>
        <w:rPr>
          <w:sz w:val="20"/>
          <w:szCs w:val="20"/>
        </w:rPr>
      </w:pPr>
      <w:r>
        <w:rPr>
          <w:position w:val="10"/>
          <w:vertAlign w:val="superscript"/>
        </w:rPr>
        <w:t xml:space="preserve">1 </w:t>
      </w:r>
      <w:r>
        <w:rPr>
          <w:sz w:val="28"/>
          <w:szCs w:val="28"/>
        </w:rPr>
        <w:t>“</w:t>
      </w:r>
      <w:r w:rsidRPr="003037ED">
        <w:rPr>
          <w:sz w:val="20"/>
          <w:szCs w:val="20"/>
        </w:rPr>
        <w:t>Preparin</w:t>
      </w:r>
      <w:r>
        <w:rPr>
          <w:sz w:val="20"/>
          <w:szCs w:val="20"/>
        </w:rPr>
        <w:t xml:space="preserve">g for Asset Management </w:t>
      </w:r>
      <w:proofErr w:type="gramStart"/>
      <w:r>
        <w:rPr>
          <w:sz w:val="20"/>
          <w:szCs w:val="20"/>
        </w:rPr>
        <w:t>Under</w:t>
      </w:r>
      <w:proofErr w:type="gramEnd"/>
      <w:r>
        <w:rPr>
          <w:sz w:val="20"/>
          <w:szCs w:val="20"/>
        </w:rPr>
        <w:t xml:space="preserve"> the New Public Housing Operating Fund Rule (24 CFR 990)”, U.S. Department of Housing &amp; Urban Development Office of Public and Indian Housing 4/20/2007 HATT Cost Distribution and Fee Recovery Plan Page 15 of 29</w:t>
      </w:r>
    </w:p>
    <w:tbl>
      <w:tblPr>
        <w:tblStyle w:val="TableGrid"/>
        <w:tblW w:w="10620" w:type="dxa"/>
        <w:tblInd w:w="-72" w:type="dxa"/>
        <w:tblLook w:val="04A0"/>
      </w:tblPr>
      <w:tblGrid>
        <w:gridCol w:w="2520"/>
        <w:gridCol w:w="8100"/>
      </w:tblGrid>
      <w:tr w:rsidR="00B86A32" w:rsidTr="00593AD3">
        <w:tc>
          <w:tcPr>
            <w:tcW w:w="2520" w:type="dxa"/>
            <w:shd w:val="clear" w:color="auto" w:fill="D9D9D9" w:themeFill="background1" w:themeFillShade="D9"/>
            <w:vAlign w:val="center"/>
          </w:tcPr>
          <w:p w:rsidR="00B86A32" w:rsidRDefault="00B86A32" w:rsidP="007B765E">
            <w:pPr>
              <w:pStyle w:val="Default"/>
              <w:jc w:val="both"/>
              <w:rPr>
                <w:sz w:val="23"/>
                <w:szCs w:val="23"/>
              </w:rPr>
            </w:pPr>
            <w:r>
              <w:rPr>
                <w:sz w:val="23"/>
                <w:szCs w:val="23"/>
              </w:rPr>
              <w:t xml:space="preserve">Activity/Expense </w:t>
            </w:r>
          </w:p>
        </w:tc>
        <w:tc>
          <w:tcPr>
            <w:tcW w:w="8100" w:type="dxa"/>
            <w:shd w:val="clear" w:color="auto" w:fill="D9D9D9" w:themeFill="background1" w:themeFillShade="D9"/>
            <w:vAlign w:val="center"/>
          </w:tcPr>
          <w:p w:rsidR="00B86A32" w:rsidRDefault="00B86A32" w:rsidP="007B765E">
            <w:pPr>
              <w:pStyle w:val="Default"/>
              <w:jc w:val="both"/>
              <w:rPr>
                <w:sz w:val="23"/>
                <w:szCs w:val="23"/>
              </w:rPr>
            </w:pPr>
            <w:r>
              <w:rPr>
                <w:sz w:val="23"/>
                <w:szCs w:val="23"/>
              </w:rPr>
              <w:t xml:space="preserve">Assignment of Cost </w:t>
            </w:r>
          </w:p>
        </w:tc>
      </w:tr>
      <w:tr w:rsidR="00593AD3" w:rsidTr="00593AD3">
        <w:trPr>
          <w:trHeight w:val="800"/>
        </w:trPr>
        <w:tc>
          <w:tcPr>
            <w:tcW w:w="2520" w:type="dxa"/>
            <w:vAlign w:val="center"/>
          </w:tcPr>
          <w:p w:rsidR="00593AD3" w:rsidRDefault="00593AD3" w:rsidP="00593AD3">
            <w:pPr>
              <w:pStyle w:val="Default"/>
              <w:rPr>
                <w:color w:val="201C1D"/>
                <w:sz w:val="20"/>
                <w:szCs w:val="20"/>
              </w:rPr>
            </w:pPr>
            <w:r>
              <w:rPr>
                <w:color w:val="201C1D"/>
                <w:sz w:val="20"/>
                <w:szCs w:val="20"/>
              </w:rPr>
              <w:t xml:space="preserve">Centralized Procurement </w:t>
            </w:r>
          </w:p>
        </w:tc>
        <w:tc>
          <w:tcPr>
            <w:tcW w:w="8100" w:type="dxa"/>
            <w:vAlign w:val="center"/>
          </w:tcPr>
          <w:p w:rsidR="00593AD3" w:rsidRDefault="00593AD3" w:rsidP="00593AD3">
            <w:pPr>
              <w:pStyle w:val="Default"/>
              <w:rPr>
                <w:color w:val="201C1D"/>
                <w:sz w:val="20"/>
                <w:szCs w:val="20"/>
              </w:rPr>
            </w:pPr>
            <w:r>
              <w:rPr>
                <w:color w:val="201C1D"/>
                <w:sz w:val="20"/>
                <w:szCs w:val="20"/>
              </w:rPr>
              <w:t>PHAs can charge projects for the cost of any advertising and other direct costs incurred centrally for project</w:t>
            </w:r>
            <w:r>
              <w:rPr>
                <w:color w:val="201C1D"/>
                <w:sz w:val="20"/>
                <w:szCs w:val="20"/>
              </w:rPr>
              <w:softHyphen/>
              <w:t xml:space="preserve"> specific procurement actions. Other centralized procurement tasks are paid from management fee. </w:t>
            </w:r>
          </w:p>
        </w:tc>
      </w:tr>
      <w:tr w:rsidR="00CE10FC" w:rsidTr="00593AD3">
        <w:trPr>
          <w:trHeight w:val="800"/>
        </w:trPr>
        <w:tc>
          <w:tcPr>
            <w:tcW w:w="2520" w:type="dxa"/>
            <w:vAlign w:val="center"/>
          </w:tcPr>
          <w:p w:rsidR="00CE10FC" w:rsidRDefault="00CE10FC" w:rsidP="00593AD3">
            <w:pPr>
              <w:pStyle w:val="Default"/>
              <w:rPr>
                <w:color w:val="201C1D"/>
                <w:sz w:val="20"/>
                <w:szCs w:val="20"/>
              </w:rPr>
            </w:pPr>
            <w:r>
              <w:rPr>
                <w:color w:val="201C1D"/>
                <w:sz w:val="20"/>
                <w:szCs w:val="20"/>
              </w:rPr>
              <w:t xml:space="preserve">Central Warehouses </w:t>
            </w:r>
          </w:p>
        </w:tc>
        <w:tc>
          <w:tcPr>
            <w:tcW w:w="8100" w:type="dxa"/>
            <w:vAlign w:val="center"/>
          </w:tcPr>
          <w:p w:rsidR="00CE10FC" w:rsidRDefault="00CE10FC" w:rsidP="00593AD3">
            <w:pPr>
              <w:pStyle w:val="Default"/>
              <w:rPr>
                <w:color w:val="201C1D"/>
                <w:sz w:val="20"/>
                <w:szCs w:val="20"/>
              </w:rPr>
            </w:pPr>
            <w:r>
              <w:rPr>
                <w:color w:val="201C1D"/>
                <w:sz w:val="20"/>
                <w:szCs w:val="20"/>
              </w:rPr>
              <w:t>With prior HUD approval, the costs of a central warehouse can be charged as a front</w:t>
            </w:r>
            <w:r>
              <w:rPr>
                <w:color w:val="201C1D"/>
                <w:sz w:val="20"/>
                <w:szCs w:val="20"/>
              </w:rPr>
              <w:softHyphen/>
              <w:t>line cost only if the PHA can demonstrate that the costs are less than what the project would otherwise incur if the goods were obtained by on</w:t>
            </w:r>
            <w:r>
              <w:rPr>
                <w:color w:val="201C1D"/>
                <w:sz w:val="20"/>
                <w:szCs w:val="20"/>
              </w:rPr>
              <w:softHyphen/>
              <w:t xml:space="preserve">site staff. </w:t>
            </w:r>
          </w:p>
        </w:tc>
      </w:tr>
      <w:tr w:rsidR="00B86A32" w:rsidTr="00593AD3">
        <w:trPr>
          <w:trHeight w:val="1691"/>
        </w:trPr>
        <w:tc>
          <w:tcPr>
            <w:tcW w:w="2520" w:type="dxa"/>
            <w:vAlign w:val="center"/>
          </w:tcPr>
          <w:p w:rsidR="00B86A32" w:rsidRDefault="00B86A32" w:rsidP="00593AD3">
            <w:pPr>
              <w:pStyle w:val="Default"/>
              <w:rPr>
                <w:color w:val="201C1D"/>
                <w:sz w:val="20"/>
                <w:szCs w:val="20"/>
              </w:rPr>
            </w:pPr>
            <w:r>
              <w:rPr>
                <w:color w:val="201C1D"/>
                <w:sz w:val="20"/>
                <w:szCs w:val="20"/>
              </w:rPr>
              <w:t xml:space="preserve">Central Rent Collection </w:t>
            </w:r>
          </w:p>
        </w:tc>
        <w:tc>
          <w:tcPr>
            <w:tcW w:w="8100" w:type="dxa"/>
            <w:vAlign w:val="center"/>
          </w:tcPr>
          <w:p w:rsidR="00B86A32" w:rsidRDefault="00B86A32" w:rsidP="00593AD3">
            <w:pPr>
              <w:pStyle w:val="Default"/>
              <w:rPr>
                <w:color w:val="201C1D"/>
                <w:sz w:val="20"/>
                <w:szCs w:val="20"/>
              </w:rPr>
            </w:pPr>
            <w:r>
              <w:rPr>
                <w:color w:val="201C1D"/>
                <w:sz w:val="20"/>
                <w:szCs w:val="20"/>
              </w:rPr>
              <w:t>A PHA that chooses to utilize central rent collections may charge back to each project on a pro</w:t>
            </w:r>
            <w:r>
              <w:rPr>
                <w:color w:val="201C1D"/>
                <w:sz w:val="20"/>
                <w:szCs w:val="20"/>
              </w:rPr>
              <w:softHyphen/>
            </w:r>
            <w:r w:rsidR="00593AD3">
              <w:rPr>
                <w:color w:val="201C1D"/>
                <w:sz w:val="20"/>
                <w:szCs w:val="20"/>
              </w:rPr>
              <w:t xml:space="preserve"> </w:t>
            </w:r>
            <w:r>
              <w:rPr>
                <w:color w:val="201C1D"/>
                <w:sz w:val="20"/>
                <w:szCs w:val="20"/>
              </w:rPr>
              <w:t>rata basis the cost of any related bank charges and the cost of the rent collection clerk(s), provided that (1) the employee’s job description lists rent collection as a specific position responsibility and (2) the PHA documents the time performing front</w:t>
            </w:r>
            <w:r>
              <w:rPr>
                <w:color w:val="201C1D"/>
                <w:sz w:val="20"/>
                <w:szCs w:val="20"/>
              </w:rPr>
              <w:softHyphen/>
              <w:t>line functions and the time the employee spends on central office functions. (General tenant accounting costs are recovered through the bookkeeping fee and are not considered front</w:t>
            </w:r>
            <w:r>
              <w:rPr>
                <w:color w:val="201C1D"/>
                <w:sz w:val="20"/>
                <w:szCs w:val="20"/>
              </w:rPr>
              <w:softHyphen/>
              <w:t xml:space="preserve">line expenses.) </w:t>
            </w:r>
          </w:p>
        </w:tc>
      </w:tr>
      <w:tr w:rsidR="00B86A32" w:rsidTr="00593AD3">
        <w:trPr>
          <w:trHeight w:val="809"/>
        </w:trPr>
        <w:tc>
          <w:tcPr>
            <w:tcW w:w="2520" w:type="dxa"/>
            <w:vAlign w:val="center"/>
          </w:tcPr>
          <w:p w:rsidR="00B86A32" w:rsidRDefault="00B86A32" w:rsidP="00593AD3">
            <w:pPr>
              <w:pStyle w:val="Default"/>
              <w:rPr>
                <w:color w:val="201C1D"/>
                <w:sz w:val="20"/>
                <w:szCs w:val="20"/>
              </w:rPr>
            </w:pPr>
            <w:r>
              <w:rPr>
                <w:color w:val="201C1D"/>
                <w:sz w:val="20"/>
                <w:szCs w:val="20"/>
              </w:rPr>
              <w:t xml:space="preserve">Central Work Orders </w:t>
            </w:r>
          </w:p>
        </w:tc>
        <w:tc>
          <w:tcPr>
            <w:tcW w:w="8100" w:type="dxa"/>
            <w:vAlign w:val="center"/>
          </w:tcPr>
          <w:p w:rsidR="00B86A32" w:rsidRDefault="00B86A32" w:rsidP="00593AD3">
            <w:pPr>
              <w:pStyle w:val="Default"/>
              <w:rPr>
                <w:color w:val="201C1D"/>
                <w:sz w:val="20"/>
                <w:szCs w:val="20"/>
              </w:rPr>
            </w:pPr>
            <w:r>
              <w:rPr>
                <w:color w:val="201C1D"/>
                <w:sz w:val="20"/>
                <w:szCs w:val="20"/>
              </w:rPr>
              <w:t>After the first year of project</w:t>
            </w:r>
            <w:r w:rsidR="00593AD3">
              <w:rPr>
                <w:color w:val="201C1D"/>
                <w:sz w:val="20"/>
                <w:szCs w:val="20"/>
              </w:rPr>
              <w:t>-</w:t>
            </w:r>
            <w:r>
              <w:rPr>
                <w:color w:val="201C1D"/>
                <w:sz w:val="20"/>
                <w:szCs w:val="20"/>
              </w:rPr>
              <w:softHyphen/>
              <w:t>based accounting, a PHA may charge the cost of centralized work orders as a front</w:t>
            </w:r>
            <w:r>
              <w:rPr>
                <w:color w:val="201C1D"/>
                <w:sz w:val="20"/>
                <w:szCs w:val="20"/>
              </w:rPr>
              <w:softHyphen/>
              <w:t xml:space="preserve">line expense only if the PHA documents/justifies that the cost is reasonable and necessary. </w:t>
            </w:r>
          </w:p>
        </w:tc>
      </w:tr>
      <w:tr w:rsidR="00B86A32" w:rsidTr="00593AD3">
        <w:trPr>
          <w:trHeight w:val="1061"/>
        </w:trPr>
        <w:tc>
          <w:tcPr>
            <w:tcW w:w="2520" w:type="dxa"/>
            <w:vAlign w:val="center"/>
          </w:tcPr>
          <w:p w:rsidR="00B86A32" w:rsidRDefault="00B86A32" w:rsidP="00593AD3">
            <w:pPr>
              <w:pStyle w:val="Default"/>
              <w:rPr>
                <w:color w:val="201C1D"/>
                <w:sz w:val="20"/>
                <w:szCs w:val="20"/>
              </w:rPr>
            </w:pPr>
            <w:r>
              <w:rPr>
                <w:color w:val="201C1D"/>
                <w:sz w:val="20"/>
                <w:szCs w:val="20"/>
              </w:rPr>
              <w:t xml:space="preserve">Centralized Inspections Services </w:t>
            </w:r>
          </w:p>
        </w:tc>
        <w:tc>
          <w:tcPr>
            <w:tcW w:w="8100" w:type="dxa"/>
            <w:vAlign w:val="center"/>
          </w:tcPr>
          <w:p w:rsidR="00B86A32" w:rsidRDefault="00B86A32" w:rsidP="00593AD3">
            <w:pPr>
              <w:pStyle w:val="Default"/>
              <w:rPr>
                <w:color w:val="201C1D"/>
                <w:sz w:val="20"/>
                <w:szCs w:val="20"/>
              </w:rPr>
            </w:pPr>
            <w:r>
              <w:rPr>
                <w:color w:val="201C1D"/>
                <w:sz w:val="20"/>
                <w:szCs w:val="20"/>
              </w:rPr>
              <w:t>A PHA may charge centralized inspections (for unit/preventive maintenance inspections only, not quality control inspections) as a front</w:t>
            </w:r>
            <w:r>
              <w:rPr>
                <w:color w:val="201C1D"/>
                <w:sz w:val="20"/>
                <w:szCs w:val="20"/>
              </w:rPr>
              <w:softHyphen/>
              <w:t xml:space="preserve">line expense based on the services received by each project. The amounts shall not be more than what a PHA would pay a private vendor for the same service. </w:t>
            </w:r>
          </w:p>
        </w:tc>
      </w:tr>
      <w:tr w:rsidR="00B86A32" w:rsidTr="00593AD3">
        <w:trPr>
          <w:trHeight w:val="1070"/>
        </w:trPr>
        <w:tc>
          <w:tcPr>
            <w:tcW w:w="2520" w:type="dxa"/>
            <w:vAlign w:val="center"/>
          </w:tcPr>
          <w:p w:rsidR="00B86A32" w:rsidRDefault="00B86A32" w:rsidP="00593AD3">
            <w:pPr>
              <w:pStyle w:val="Default"/>
              <w:rPr>
                <w:color w:val="201C1D"/>
                <w:sz w:val="20"/>
                <w:szCs w:val="20"/>
              </w:rPr>
            </w:pPr>
            <w:r>
              <w:rPr>
                <w:color w:val="201C1D"/>
                <w:sz w:val="20"/>
                <w:szCs w:val="20"/>
              </w:rPr>
              <w:t xml:space="preserve">Resident Services </w:t>
            </w:r>
          </w:p>
        </w:tc>
        <w:tc>
          <w:tcPr>
            <w:tcW w:w="8100" w:type="dxa"/>
            <w:vAlign w:val="center"/>
          </w:tcPr>
          <w:p w:rsidR="00B86A32" w:rsidRDefault="00B86A32" w:rsidP="00593AD3">
            <w:pPr>
              <w:pStyle w:val="Default"/>
              <w:rPr>
                <w:color w:val="201C1D"/>
                <w:sz w:val="20"/>
                <w:szCs w:val="20"/>
              </w:rPr>
            </w:pPr>
            <w:r>
              <w:rPr>
                <w:color w:val="201C1D"/>
                <w:sz w:val="20"/>
                <w:szCs w:val="20"/>
              </w:rPr>
              <w:t>To the extent practical, all resident services should be site</w:t>
            </w:r>
            <w:r>
              <w:rPr>
                <w:color w:val="201C1D"/>
                <w:sz w:val="20"/>
                <w:szCs w:val="20"/>
              </w:rPr>
              <w:softHyphen/>
            </w:r>
            <w:r w:rsidR="00593AD3">
              <w:rPr>
                <w:color w:val="201C1D"/>
                <w:sz w:val="20"/>
                <w:szCs w:val="20"/>
              </w:rPr>
              <w:t>-</w:t>
            </w:r>
            <w:r>
              <w:rPr>
                <w:color w:val="201C1D"/>
                <w:sz w:val="20"/>
                <w:szCs w:val="20"/>
              </w:rPr>
              <w:t>based, with costs tracked to the project. Where PHAs cannot reasonably track costs to a project, PHAs will be permitted to pro</w:t>
            </w:r>
            <w:r>
              <w:rPr>
                <w:color w:val="201C1D"/>
                <w:sz w:val="20"/>
                <w:szCs w:val="20"/>
              </w:rPr>
              <w:softHyphen/>
              <w:t xml:space="preserve">rate centralized resident services costs across properties. However, in all instances the costs must be reasonable and necessary. </w:t>
            </w:r>
          </w:p>
        </w:tc>
      </w:tr>
      <w:tr w:rsidR="00B86A32" w:rsidTr="00593AD3">
        <w:trPr>
          <w:trHeight w:val="1070"/>
        </w:trPr>
        <w:tc>
          <w:tcPr>
            <w:tcW w:w="2520" w:type="dxa"/>
            <w:vAlign w:val="center"/>
          </w:tcPr>
          <w:p w:rsidR="00B86A32" w:rsidRDefault="00B86A32" w:rsidP="00593AD3">
            <w:pPr>
              <w:pStyle w:val="Default"/>
              <w:rPr>
                <w:color w:val="201C1D"/>
                <w:sz w:val="20"/>
                <w:szCs w:val="20"/>
              </w:rPr>
            </w:pPr>
            <w:r>
              <w:rPr>
                <w:color w:val="201C1D"/>
                <w:sz w:val="20"/>
                <w:szCs w:val="20"/>
              </w:rPr>
              <w:t xml:space="preserve">Security/Protective Services </w:t>
            </w:r>
          </w:p>
        </w:tc>
        <w:tc>
          <w:tcPr>
            <w:tcW w:w="8100" w:type="dxa"/>
            <w:vAlign w:val="center"/>
          </w:tcPr>
          <w:p w:rsidR="00B86A32" w:rsidRDefault="00B86A32" w:rsidP="00593AD3">
            <w:pPr>
              <w:pStyle w:val="Default"/>
              <w:rPr>
                <w:color w:val="201C1D"/>
                <w:sz w:val="20"/>
                <w:szCs w:val="20"/>
              </w:rPr>
            </w:pPr>
            <w:r>
              <w:rPr>
                <w:color w:val="201C1D"/>
                <w:sz w:val="20"/>
                <w:szCs w:val="20"/>
              </w:rPr>
              <w:t xml:space="preserve">See also comment under Resident Services. In addition, HUD may require PHAs with extensive centralized security/protective services operations that cannot readily be tracked to a project to submit a plan to provide for more direct deployment of these expenses in the future. </w:t>
            </w:r>
          </w:p>
        </w:tc>
      </w:tr>
      <w:tr w:rsidR="00B86A32" w:rsidTr="00593AD3">
        <w:trPr>
          <w:trHeight w:val="1259"/>
        </w:trPr>
        <w:tc>
          <w:tcPr>
            <w:tcW w:w="2520" w:type="dxa"/>
            <w:vAlign w:val="center"/>
          </w:tcPr>
          <w:p w:rsidR="00B86A32" w:rsidRDefault="00B86A32" w:rsidP="00593AD3">
            <w:pPr>
              <w:pStyle w:val="Default"/>
              <w:rPr>
                <w:color w:val="201C1D"/>
                <w:sz w:val="20"/>
                <w:szCs w:val="20"/>
              </w:rPr>
            </w:pPr>
            <w:r>
              <w:rPr>
                <w:color w:val="201C1D"/>
                <w:sz w:val="20"/>
                <w:szCs w:val="20"/>
              </w:rPr>
              <w:t xml:space="preserve">Centralized Waiting List, Screening, Leasing, and Occupancy </w:t>
            </w:r>
          </w:p>
        </w:tc>
        <w:tc>
          <w:tcPr>
            <w:tcW w:w="8100" w:type="dxa"/>
            <w:vAlign w:val="center"/>
          </w:tcPr>
          <w:p w:rsidR="00B86A32" w:rsidRDefault="00B86A32" w:rsidP="00593AD3">
            <w:pPr>
              <w:pStyle w:val="Default"/>
              <w:rPr>
                <w:color w:val="201C1D"/>
                <w:sz w:val="20"/>
                <w:szCs w:val="20"/>
              </w:rPr>
            </w:pPr>
            <w:r>
              <w:rPr>
                <w:color w:val="201C1D"/>
                <w:sz w:val="20"/>
                <w:szCs w:val="20"/>
              </w:rPr>
              <w:t>While few private housing operators maintain centralized leasing functions, PHAs have only recently been permitted to establish site</w:t>
            </w:r>
            <w:r w:rsidR="00593AD3">
              <w:rPr>
                <w:color w:val="201C1D"/>
                <w:sz w:val="20"/>
                <w:szCs w:val="20"/>
              </w:rPr>
              <w:t>-</w:t>
            </w:r>
            <w:r>
              <w:rPr>
                <w:color w:val="201C1D"/>
                <w:sz w:val="20"/>
                <w:szCs w:val="20"/>
              </w:rPr>
              <w:softHyphen/>
              <w:t>based waiting lists. PHAs that maintain centralized waiting lists and admissions may pro</w:t>
            </w:r>
            <w:r>
              <w:rPr>
                <w:color w:val="201C1D"/>
                <w:sz w:val="20"/>
                <w:szCs w:val="20"/>
              </w:rPr>
              <w:softHyphen/>
              <w:t xml:space="preserve">rate the costs of that function to each project either based on average turnover, or some other reasonable method. However, in all instances the costs must be reasonable and necessary. </w:t>
            </w:r>
          </w:p>
        </w:tc>
      </w:tr>
      <w:tr w:rsidR="00B86A32" w:rsidTr="00593AD3">
        <w:trPr>
          <w:trHeight w:val="800"/>
        </w:trPr>
        <w:tc>
          <w:tcPr>
            <w:tcW w:w="2520" w:type="dxa"/>
            <w:vAlign w:val="center"/>
          </w:tcPr>
          <w:p w:rsidR="00B86A32" w:rsidRDefault="00B86A32" w:rsidP="00593AD3">
            <w:pPr>
              <w:pStyle w:val="Default"/>
              <w:rPr>
                <w:color w:val="201C1D"/>
                <w:sz w:val="20"/>
                <w:szCs w:val="20"/>
              </w:rPr>
            </w:pPr>
            <w:r>
              <w:rPr>
                <w:color w:val="201C1D"/>
                <w:sz w:val="20"/>
                <w:szCs w:val="20"/>
              </w:rPr>
              <w:t xml:space="preserve">Central Reexaminations </w:t>
            </w:r>
          </w:p>
        </w:tc>
        <w:tc>
          <w:tcPr>
            <w:tcW w:w="8100" w:type="dxa"/>
            <w:vAlign w:val="center"/>
          </w:tcPr>
          <w:p w:rsidR="00B86A32" w:rsidRDefault="00B86A32" w:rsidP="00593AD3">
            <w:pPr>
              <w:pStyle w:val="Default"/>
              <w:rPr>
                <w:color w:val="201C1D"/>
                <w:sz w:val="20"/>
                <w:szCs w:val="20"/>
              </w:rPr>
            </w:pPr>
            <w:r>
              <w:rPr>
                <w:color w:val="201C1D"/>
                <w:sz w:val="20"/>
                <w:szCs w:val="20"/>
              </w:rPr>
              <w:t>PHAs that maintain centralized recertification systems may pro</w:t>
            </w:r>
            <w:r>
              <w:rPr>
                <w:color w:val="201C1D"/>
                <w:sz w:val="20"/>
                <w:szCs w:val="20"/>
              </w:rPr>
              <w:softHyphen/>
              <w:t xml:space="preserve">rate the costs of that function to each project on a reasonable basis. However, in all instances the costs must be reasonable and necessary. The PHA may not charge the project for a supervisor. </w:t>
            </w:r>
          </w:p>
        </w:tc>
      </w:tr>
      <w:tr w:rsidR="00B86A32" w:rsidTr="00593AD3">
        <w:trPr>
          <w:trHeight w:val="1610"/>
        </w:trPr>
        <w:tc>
          <w:tcPr>
            <w:tcW w:w="2520" w:type="dxa"/>
            <w:vAlign w:val="center"/>
          </w:tcPr>
          <w:p w:rsidR="00B86A32" w:rsidRDefault="00B86A32" w:rsidP="00593AD3">
            <w:pPr>
              <w:pStyle w:val="Default"/>
              <w:rPr>
                <w:color w:val="201C1D"/>
                <w:sz w:val="20"/>
                <w:szCs w:val="20"/>
              </w:rPr>
            </w:pPr>
            <w:r>
              <w:rPr>
                <w:color w:val="201C1D"/>
                <w:sz w:val="20"/>
                <w:szCs w:val="20"/>
              </w:rPr>
              <w:t>Centralized Maintenance Services</w:t>
            </w:r>
          </w:p>
        </w:tc>
        <w:tc>
          <w:tcPr>
            <w:tcW w:w="8100" w:type="dxa"/>
            <w:vAlign w:val="center"/>
          </w:tcPr>
          <w:p w:rsidR="00593AD3" w:rsidRDefault="00B86A32" w:rsidP="00593AD3">
            <w:pPr>
              <w:pStyle w:val="Default"/>
              <w:rPr>
                <w:color w:val="201C1D"/>
                <w:sz w:val="20"/>
                <w:szCs w:val="20"/>
              </w:rPr>
            </w:pPr>
            <w:r>
              <w:rPr>
                <w:color w:val="201C1D"/>
                <w:sz w:val="20"/>
                <w:szCs w:val="20"/>
              </w:rPr>
              <w:t>The PHA can use one of four methods:</w:t>
            </w:r>
          </w:p>
          <w:p w:rsidR="00B86A32" w:rsidRDefault="00B86A32" w:rsidP="00593AD3">
            <w:pPr>
              <w:pStyle w:val="Default"/>
              <w:rPr>
                <w:color w:val="201C1D"/>
                <w:sz w:val="20"/>
                <w:szCs w:val="20"/>
              </w:rPr>
            </w:pPr>
            <w:r>
              <w:rPr>
                <w:color w:val="201C1D"/>
                <w:sz w:val="20"/>
                <w:szCs w:val="20"/>
              </w:rPr>
              <w:t xml:space="preserve"> </w:t>
            </w:r>
          </w:p>
          <w:p w:rsidR="00593AD3" w:rsidRDefault="00B86A32" w:rsidP="00593AD3">
            <w:pPr>
              <w:pStyle w:val="Default"/>
              <w:rPr>
                <w:color w:val="201C1D"/>
                <w:sz w:val="20"/>
                <w:szCs w:val="20"/>
              </w:rPr>
            </w:pPr>
            <w:r>
              <w:rPr>
                <w:color w:val="201C1D"/>
                <w:sz w:val="20"/>
                <w:szCs w:val="20"/>
              </w:rPr>
              <w:t>• Where the PHA has bid out work under effective competition and is the most responsible low</w:t>
            </w:r>
            <w:r>
              <w:rPr>
                <w:color w:val="201C1D"/>
                <w:sz w:val="20"/>
                <w:szCs w:val="20"/>
              </w:rPr>
              <w:softHyphen/>
              <w:t xml:space="preserve"> bidder, the PHA may charge the bid price. </w:t>
            </w:r>
          </w:p>
          <w:p w:rsidR="00593AD3" w:rsidRDefault="00593AD3" w:rsidP="00593AD3">
            <w:pPr>
              <w:pStyle w:val="Default"/>
              <w:rPr>
                <w:color w:val="201C1D"/>
                <w:sz w:val="20"/>
                <w:szCs w:val="20"/>
              </w:rPr>
            </w:pPr>
          </w:p>
          <w:p w:rsidR="00593AD3" w:rsidRDefault="00B86A32" w:rsidP="00593AD3">
            <w:pPr>
              <w:pStyle w:val="Default"/>
              <w:rPr>
                <w:color w:val="201C1D"/>
                <w:sz w:val="20"/>
                <w:szCs w:val="20"/>
              </w:rPr>
            </w:pPr>
            <w:r>
              <w:rPr>
                <w:color w:val="201C1D"/>
                <w:sz w:val="20"/>
                <w:szCs w:val="20"/>
              </w:rPr>
              <w:t xml:space="preserve">• Where the PHA provides a specialized service centrally (e.g., extermination, trash collection, unit painting), the PHA may charge the market price for that service, based on actual work performed. For example, if the market price for monthly unit extermination is </w:t>
            </w:r>
            <w:r>
              <w:rPr>
                <w:color w:val="201C1D"/>
                <w:sz w:val="20"/>
                <w:szCs w:val="20"/>
              </w:rPr>
              <w:lastRenderedPageBreak/>
              <w:t xml:space="preserve">$3.00 PUM, the PHA can charge the project this market price. The PHA must maintain documentation of its determination of market pricing. </w:t>
            </w:r>
          </w:p>
          <w:p w:rsidR="00593AD3" w:rsidRDefault="00593AD3" w:rsidP="00593AD3">
            <w:pPr>
              <w:pStyle w:val="Default"/>
              <w:rPr>
                <w:color w:val="201C1D"/>
                <w:sz w:val="20"/>
                <w:szCs w:val="20"/>
              </w:rPr>
            </w:pPr>
          </w:p>
          <w:p w:rsidR="00593AD3" w:rsidRDefault="00B86A32" w:rsidP="00593AD3">
            <w:pPr>
              <w:pStyle w:val="Default"/>
              <w:rPr>
                <w:color w:val="201C1D"/>
                <w:sz w:val="20"/>
                <w:szCs w:val="20"/>
              </w:rPr>
            </w:pPr>
            <w:r>
              <w:rPr>
                <w:color w:val="201C1D"/>
                <w:sz w:val="20"/>
                <w:szCs w:val="20"/>
              </w:rPr>
              <w:t>• Where the PHA provides a technical service centrally (e.g., plumbing, electrical), the PHA can charge the market price for that labor, based on actual work per</w:t>
            </w:r>
            <w:r>
              <w:rPr>
                <w:color w:val="201C1D"/>
                <w:sz w:val="20"/>
                <w:szCs w:val="20"/>
              </w:rPr>
              <w:softHyphen/>
              <w:t>formed. For example, if Project A needs a maintenance plumber for 3 hours, the central office can charge the market price for a plumber for those 3 hours. (The PHA must absorb the attendant costs of this plumber through the fees collected.) The PHA must maintain documentation of its determination of market pricing. In all instances, the work must be necessary and the PHA should not charge for work that would normally be handled by on</w:t>
            </w:r>
            <w:r>
              <w:rPr>
                <w:color w:val="201C1D"/>
                <w:sz w:val="20"/>
                <w:szCs w:val="20"/>
              </w:rPr>
              <w:softHyphen/>
              <w:t xml:space="preserve">site maintenance staff. </w:t>
            </w:r>
          </w:p>
          <w:p w:rsidR="00593AD3" w:rsidRDefault="00593AD3" w:rsidP="00593AD3">
            <w:pPr>
              <w:pStyle w:val="Default"/>
              <w:rPr>
                <w:color w:val="201C1D"/>
                <w:sz w:val="20"/>
                <w:szCs w:val="20"/>
              </w:rPr>
            </w:pPr>
          </w:p>
          <w:p w:rsidR="00B86A32" w:rsidRDefault="00B86A32" w:rsidP="00593AD3">
            <w:pPr>
              <w:pStyle w:val="Default"/>
              <w:rPr>
                <w:color w:val="201C1D"/>
                <w:sz w:val="20"/>
                <w:szCs w:val="20"/>
              </w:rPr>
            </w:pPr>
            <w:r>
              <w:rPr>
                <w:color w:val="201C1D"/>
                <w:sz w:val="20"/>
                <w:szCs w:val="20"/>
              </w:rPr>
              <w:t>• Where the PHA has centrally</w:t>
            </w:r>
            <w:r>
              <w:rPr>
                <w:color w:val="201C1D"/>
                <w:sz w:val="20"/>
                <w:szCs w:val="20"/>
              </w:rPr>
              <w:softHyphen/>
              <w:t xml:space="preserve"> provided routine maintenance services (general maintenance, cleaning, etc.), the PHA may only charge the direct cost of the employee (salary and fringe) but with no mark</w:t>
            </w:r>
            <w:r>
              <w:rPr>
                <w:color w:val="201C1D"/>
                <w:sz w:val="20"/>
                <w:szCs w:val="20"/>
              </w:rPr>
              <w:softHyphen/>
              <w:t>up for overhead or for supervision. Charges must be for services received. To the extent that it is reasonable for the project to require a vehicle (or a shared vehicle), the PHA may directly pro</w:t>
            </w:r>
            <w:r>
              <w:rPr>
                <w:color w:val="201C1D"/>
                <w:sz w:val="20"/>
                <w:szCs w:val="20"/>
              </w:rPr>
              <w:softHyphen/>
              <w:t>rate the cost of the vehicle and other sundry costs.</w:t>
            </w:r>
          </w:p>
        </w:tc>
      </w:tr>
      <w:tr w:rsidR="00B86A32" w:rsidTr="00593AD3">
        <w:trPr>
          <w:trHeight w:val="1061"/>
        </w:trPr>
        <w:tc>
          <w:tcPr>
            <w:tcW w:w="2520" w:type="dxa"/>
            <w:vAlign w:val="center"/>
          </w:tcPr>
          <w:p w:rsidR="00B86A32" w:rsidRDefault="00B86A32" w:rsidP="00593AD3">
            <w:pPr>
              <w:pStyle w:val="Default"/>
              <w:rPr>
                <w:color w:val="201C1D"/>
                <w:sz w:val="20"/>
                <w:szCs w:val="20"/>
              </w:rPr>
            </w:pPr>
            <w:r>
              <w:rPr>
                <w:color w:val="201C1D"/>
                <w:sz w:val="20"/>
                <w:szCs w:val="20"/>
              </w:rPr>
              <w:lastRenderedPageBreak/>
              <w:t xml:space="preserve">Telephone Costs </w:t>
            </w:r>
          </w:p>
        </w:tc>
        <w:tc>
          <w:tcPr>
            <w:tcW w:w="8100" w:type="dxa"/>
            <w:vAlign w:val="center"/>
          </w:tcPr>
          <w:p w:rsidR="00B86A32" w:rsidRDefault="00B86A32" w:rsidP="00593AD3">
            <w:pPr>
              <w:pStyle w:val="Default"/>
              <w:rPr>
                <w:color w:val="201C1D"/>
                <w:sz w:val="20"/>
                <w:szCs w:val="20"/>
              </w:rPr>
            </w:pPr>
            <w:r>
              <w:rPr>
                <w:color w:val="201C1D"/>
                <w:sz w:val="20"/>
                <w:szCs w:val="20"/>
              </w:rPr>
              <w:t>HUD prefers that PHAs obtain separate, project</w:t>
            </w:r>
            <w:r>
              <w:rPr>
                <w:color w:val="201C1D"/>
                <w:sz w:val="20"/>
                <w:szCs w:val="20"/>
              </w:rPr>
              <w:softHyphen/>
              <w:t xml:space="preserve"> specific telephone bills; however, if a PHA has a master account that cannot be broken out by project, the PHA will be permitted to recover these costs through a method that reasonably pro</w:t>
            </w:r>
            <w:r>
              <w:rPr>
                <w:color w:val="201C1D"/>
                <w:sz w:val="20"/>
                <w:szCs w:val="20"/>
              </w:rPr>
              <w:softHyphen/>
              <w:t xml:space="preserve">rates the phone bills to each project. </w:t>
            </w:r>
          </w:p>
        </w:tc>
      </w:tr>
    </w:tbl>
    <w:p w:rsidR="00B86A32" w:rsidRDefault="00B86A32" w:rsidP="007B765E">
      <w:pPr>
        <w:pStyle w:val="Default"/>
        <w:tabs>
          <w:tab w:val="left" w:pos="360"/>
        </w:tabs>
        <w:ind w:left="360" w:hanging="360"/>
        <w:contextualSpacing/>
        <w:jc w:val="both"/>
        <w:rPr>
          <w:color w:val="auto"/>
        </w:rPr>
      </w:pPr>
    </w:p>
    <w:p w:rsidR="00593AD3" w:rsidRDefault="00593AD3" w:rsidP="007B765E">
      <w:pPr>
        <w:pStyle w:val="Default"/>
        <w:tabs>
          <w:tab w:val="left" w:pos="360"/>
        </w:tabs>
        <w:ind w:left="360" w:hanging="360"/>
        <w:contextualSpacing/>
        <w:jc w:val="both"/>
        <w:rPr>
          <w:color w:val="auto"/>
        </w:rPr>
      </w:pPr>
    </w:p>
    <w:p w:rsidR="00593AD3" w:rsidRDefault="00593AD3" w:rsidP="007B765E">
      <w:pPr>
        <w:pStyle w:val="Default"/>
        <w:tabs>
          <w:tab w:val="left" w:pos="360"/>
        </w:tabs>
        <w:ind w:left="360" w:hanging="360"/>
        <w:contextualSpacing/>
        <w:jc w:val="both"/>
        <w:rPr>
          <w:color w:val="auto"/>
        </w:rPr>
      </w:pPr>
    </w:p>
    <w:p w:rsidR="00593AD3" w:rsidRPr="00593AD3" w:rsidRDefault="00593AD3" w:rsidP="00496E27">
      <w:pPr>
        <w:pStyle w:val="Header1"/>
      </w:pPr>
      <w:bookmarkStart w:id="30" w:name="_Toc266699087"/>
      <w:r w:rsidRPr="00593AD3">
        <w:t>SUBMISSION REQUIREMENTS</w:t>
      </w:r>
      <w:bookmarkEnd w:id="30"/>
    </w:p>
    <w:p w:rsidR="00593AD3" w:rsidRPr="00593AD3" w:rsidRDefault="00593AD3" w:rsidP="007B765E">
      <w:pPr>
        <w:pStyle w:val="Default"/>
        <w:tabs>
          <w:tab w:val="left" w:pos="360"/>
        </w:tabs>
        <w:ind w:left="360" w:hanging="360"/>
        <w:contextualSpacing/>
        <w:jc w:val="both"/>
        <w:rPr>
          <w:b/>
          <w:color w:val="auto"/>
        </w:rPr>
      </w:pPr>
    </w:p>
    <w:p w:rsidR="00593AD3" w:rsidRPr="00593AD3" w:rsidRDefault="00593AD3" w:rsidP="003F3717">
      <w:pPr>
        <w:pStyle w:val="Header2"/>
        <w:numPr>
          <w:ilvl w:val="0"/>
          <w:numId w:val="19"/>
        </w:numPr>
      </w:pPr>
      <w:bookmarkStart w:id="31" w:name="_Toc266699088"/>
      <w:r w:rsidRPr="00593AD3">
        <w:t>Plan Revision</w:t>
      </w:r>
      <w:bookmarkEnd w:id="31"/>
    </w:p>
    <w:p w:rsidR="00593AD3" w:rsidRDefault="00593AD3" w:rsidP="00593AD3">
      <w:pPr>
        <w:pStyle w:val="Default"/>
        <w:ind w:left="720"/>
        <w:contextualSpacing/>
        <w:jc w:val="both"/>
        <w:rPr>
          <w:color w:val="auto"/>
        </w:rPr>
      </w:pPr>
    </w:p>
    <w:p w:rsidR="00593AD3" w:rsidRDefault="00593AD3" w:rsidP="00593AD3">
      <w:pPr>
        <w:pStyle w:val="Default"/>
        <w:ind w:left="720"/>
        <w:contextualSpacing/>
        <w:jc w:val="both"/>
        <w:rPr>
          <w:color w:val="auto"/>
        </w:rPr>
      </w:pPr>
      <w:r w:rsidRPr="00126658">
        <w:rPr>
          <w:color w:val="auto"/>
        </w:rPr>
        <w:t xml:space="preserve">HATT will revise, or amend the plan for each year in which it claims central service cost under Federal awards. The plan should include (a) a projection of the next year’s allocated central service cost (based either on actual costs for the most recently completed year or the budget projection for the coming year), and (b) a reconciliation of actual allocated central service costs to the estimated costs used for either the most recently completed year or the year immediately preceding the most recently completed year. </w:t>
      </w:r>
    </w:p>
    <w:p w:rsidR="00593AD3" w:rsidRDefault="00593AD3" w:rsidP="00593AD3">
      <w:pPr>
        <w:pStyle w:val="Default"/>
        <w:contextualSpacing/>
        <w:jc w:val="both"/>
        <w:rPr>
          <w:color w:val="auto"/>
        </w:rPr>
      </w:pPr>
    </w:p>
    <w:p w:rsidR="00593AD3" w:rsidRDefault="00593AD3" w:rsidP="00593AD3">
      <w:pPr>
        <w:pStyle w:val="Default"/>
        <w:ind w:left="720"/>
        <w:contextualSpacing/>
        <w:jc w:val="both"/>
        <w:rPr>
          <w:color w:val="auto"/>
        </w:rPr>
      </w:pPr>
      <w:r w:rsidRPr="00F16A72">
        <w:rPr>
          <w:color w:val="auto"/>
        </w:rPr>
        <w:t>HATT must develop and maintain this plan in accordance with the requirements described in OMB A</w:t>
      </w:r>
      <w:r w:rsidRPr="00F16A72">
        <w:rPr>
          <w:color w:val="auto"/>
        </w:rPr>
        <w:softHyphen/>
        <w:t xml:space="preserve">87 Circular and maintain the plan and related supporting documentation for audit. HATT is not required to submit the plan(s) for Federal approval unless they are specifically requested to do so by the </w:t>
      </w:r>
      <w:proofErr w:type="gramStart"/>
      <w:r w:rsidRPr="00F16A72">
        <w:rPr>
          <w:color w:val="auto"/>
        </w:rPr>
        <w:t>cognizant</w:t>
      </w:r>
      <w:proofErr w:type="gramEnd"/>
      <w:r w:rsidRPr="00F16A72">
        <w:rPr>
          <w:color w:val="auto"/>
        </w:rPr>
        <w:t xml:space="preserve"> agency. </w:t>
      </w:r>
    </w:p>
    <w:p w:rsidR="00593AD3" w:rsidRPr="00F16A72" w:rsidRDefault="00593AD3" w:rsidP="00593AD3">
      <w:pPr>
        <w:pStyle w:val="Default"/>
        <w:contextualSpacing/>
        <w:jc w:val="both"/>
        <w:rPr>
          <w:color w:val="auto"/>
        </w:rPr>
      </w:pPr>
    </w:p>
    <w:p w:rsidR="00593AD3" w:rsidRPr="00593AD3" w:rsidRDefault="00593AD3" w:rsidP="003F3717">
      <w:pPr>
        <w:pStyle w:val="Header2"/>
        <w:numPr>
          <w:ilvl w:val="0"/>
          <w:numId w:val="19"/>
        </w:numPr>
        <w:rPr>
          <w:color w:val="auto"/>
        </w:rPr>
      </w:pPr>
      <w:bookmarkStart w:id="32" w:name="_Toc266699089"/>
      <w:r w:rsidRPr="00593AD3">
        <w:t>Documentation Requirements for Submitted Plans</w:t>
      </w:r>
      <w:bookmarkEnd w:id="32"/>
      <w:r w:rsidRPr="00593AD3">
        <w:t xml:space="preserve"> </w:t>
      </w:r>
    </w:p>
    <w:p w:rsidR="00593AD3" w:rsidRDefault="00593AD3" w:rsidP="00593AD3">
      <w:pPr>
        <w:pStyle w:val="CM28"/>
        <w:contextualSpacing/>
        <w:jc w:val="both"/>
      </w:pPr>
    </w:p>
    <w:p w:rsidR="00593AD3" w:rsidRDefault="00593AD3" w:rsidP="00593AD3">
      <w:pPr>
        <w:pStyle w:val="CM28"/>
        <w:ind w:left="720"/>
        <w:contextualSpacing/>
        <w:jc w:val="both"/>
      </w:pPr>
      <w:r w:rsidRPr="00126658">
        <w:t xml:space="preserve">The documentation requirements described in this section may be modified, expanded, or reduced by the </w:t>
      </w:r>
      <w:proofErr w:type="gramStart"/>
      <w:r w:rsidRPr="00126658">
        <w:t>cognizant</w:t>
      </w:r>
      <w:proofErr w:type="gramEnd"/>
      <w:r w:rsidRPr="00126658">
        <w:t xml:space="preserve"> agency on a case</w:t>
      </w:r>
      <w:r w:rsidRPr="00126658">
        <w:softHyphen/>
        <w:t xml:space="preserve"> by</w:t>
      </w:r>
      <w:r w:rsidRPr="00126658">
        <w:softHyphen/>
        <w:t xml:space="preserve"> case basis. For example, the requirements may be reduced for those central services which have little or no impact on Federal awards. Conversely, if a review of a plan indicates that certain additional information is needed, and will likely be needed in future years, it may be routinely requested in future plan submissions. Items marked with an asterisk (*) should be </w:t>
      </w:r>
      <w:r w:rsidRPr="00126658">
        <w:lastRenderedPageBreak/>
        <w:t xml:space="preserve">submitted only once; subsequent plans should merely indicate any changes since the last plan. </w:t>
      </w:r>
    </w:p>
    <w:p w:rsidR="00593AD3" w:rsidRDefault="00593AD3" w:rsidP="00593AD3">
      <w:pPr>
        <w:pStyle w:val="CM28"/>
        <w:ind w:left="720"/>
        <w:contextualSpacing/>
        <w:jc w:val="both"/>
      </w:pPr>
    </w:p>
    <w:p w:rsidR="00593AD3" w:rsidRDefault="00593AD3" w:rsidP="003F3717">
      <w:pPr>
        <w:pStyle w:val="CM28"/>
        <w:numPr>
          <w:ilvl w:val="0"/>
          <w:numId w:val="1"/>
        </w:numPr>
        <w:ind w:left="1080" w:hanging="360"/>
        <w:contextualSpacing/>
        <w:jc w:val="both"/>
      </w:pPr>
      <w:r w:rsidRPr="00126658">
        <w:t xml:space="preserve">Generally, HATT’s plan must be accompanied by the following: </w:t>
      </w:r>
    </w:p>
    <w:p w:rsidR="00593AD3" w:rsidRPr="00F16A72" w:rsidRDefault="00593AD3" w:rsidP="00593AD3">
      <w:pPr>
        <w:pStyle w:val="Default"/>
        <w:jc w:val="both"/>
      </w:pPr>
    </w:p>
    <w:p w:rsidR="00593AD3" w:rsidRPr="00F16A72" w:rsidRDefault="00593AD3" w:rsidP="003F3717">
      <w:pPr>
        <w:pStyle w:val="CM28"/>
        <w:numPr>
          <w:ilvl w:val="0"/>
          <w:numId w:val="13"/>
        </w:numPr>
        <w:tabs>
          <w:tab w:val="left" w:pos="1440"/>
        </w:tabs>
        <w:contextualSpacing/>
        <w:jc w:val="both"/>
      </w:pPr>
      <w:r w:rsidRPr="00F16A72">
        <w:t xml:space="preserve">An organization chart sufficiently detailed to show HATT operations, including the </w:t>
      </w:r>
    </w:p>
    <w:p w:rsidR="00593AD3" w:rsidRDefault="00593AD3" w:rsidP="00593AD3">
      <w:pPr>
        <w:pStyle w:val="Default"/>
        <w:tabs>
          <w:tab w:val="left" w:pos="1440"/>
        </w:tabs>
        <w:ind w:left="1440" w:hanging="360"/>
        <w:contextualSpacing/>
        <w:jc w:val="both"/>
        <w:rPr>
          <w:color w:val="auto"/>
        </w:rPr>
      </w:pPr>
      <w:r>
        <w:rPr>
          <w:color w:val="auto"/>
        </w:rPr>
        <w:tab/>
      </w:r>
      <w:r w:rsidRPr="00F16A72">
        <w:rPr>
          <w:color w:val="auto"/>
        </w:rPr>
        <w:t xml:space="preserve">COCC; </w:t>
      </w:r>
    </w:p>
    <w:p w:rsidR="00593AD3" w:rsidRDefault="00593AD3" w:rsidP="00593AD3">
      <w:pPr>
        <w:pStyle w:val="Default"/>
        <w:tabs>
          <w:tab w:val="left" w:pos="1440"/>
        </w:tabs>
        <w:ind w:left="1440" w:hanging="360"/>
        <w:contextualSpacing/>
        <w:jc w:val="both"/>
        <w:rPr>
          <w:color w:val="auto"/>
        </w:rPr>
      </w:pPr>
    </w:p>
    <w:p w:rsidR="00593AD3" w:rsidRDefault="00593AD3" w:rsidP="003F3717">
      <w:pPr>
        <w:pStyle w:val="Default"/>
        <w:numPr>
          <w:ilvl w:val="0"/>
          <w:numId w:val="13"/>
        </w:numPr>
        <w:tabs>
          <w:tab w:val="left" w:pos="1440"/>
        </w:tabs>
        <w:contextualSpacing/>
        <w:jc w:val="both"/>
        <w:rPr>
          <w:color w:val="auto"/>
        </w:rPr>
      </w:pPr>
      <w:r w:rsidRPr="00126658">
        <w:rPr>
          <w:color w:val="auto"/>
        </w:rPr>
        <w:t xml:space="preserve">Comprehensive Annual Financial Report (or a copy of the Executive Budget if budgeted costs are being proposed) to support the allowable costs of each Cost Center service activity included in this plan; </w:t>
      </w:r>
    </w:p>
    <w:p w:rsidR="00593AD3" w:rsidRDefault="00593AD3" w:rsidP="00593AD3">
      <w:pPr>
        <w:pStyle w:val="Default"/>
        <w:tabs>
          <w:tab w:val="left" w:pos="1440"/>
        </w:tabs>
        <w:ind w:left="1440"/>
        <w:contextualSpacing/>
        <w:jc w:val="both"/>
        <w:rPr>
          <w:color w:val="auto"/>
        </w:rPr>
      </w:pPr>
    </w:p>
    <w:p w:rsidR="00593AD3" w:rsidRPr="00F16A72" w:rsidRDefault="00593AD3" w:rsidP="003F3717">
      <w:pPr>
        <w:pStyle w:val="Default"/>
        <w:numPr>
          <w:ilvl w:val="0"/>
          <w:numId w:val="13"/>
        </w:numPr>
        <w:tabs>
          <w:tab w:val="left" w:pos="1440"/>
        </w:tabs>
        <w:contextualSpacing/>
        <w:jc w:val="both"/>
        <w:rPr>
          <w:color w:val="auto"/>
        </w:rPr>
      </w:pPr>
      <w:r w:rsidRPr="00F16A72">
        <w:rPr>
          <w:color w:val="auto"/>
        </w:rPr>
        <w:t>A certification that the plan was prepared in accordance with OMB A</w:t>
      </w:r>
      <w:r w:rsidRPr="00F16A72">
        <w:rPr>
          <w:color w:val="auto"/>
        </w:rPr>
        <w:softHyphen/>
        <w:t>87 Circular, contains only allowable costs, and was prepared in a manner that treated similar costs consistently among the various Federal awards and between Federal and non</w:t>
      </w:r>
      <w:r w:rsidRPr="00F16A72">
        <w:rPr>
          <w:color w:val="auto"/>
        </w:rPr>
        <w:softHyphen/>
      </w:r>
      <w:r>
        <w:rPr>
          <w:color w:val="auto"/>
        </w:rPr>
        <w:t>-</w:t>
      </w:r>
      <w:r w:rsidRPr="00F16A72">
        <w:rPr>
          <w:color w:val="auto"/>
        </w:rPr>
        <w:t xml:space="preserve">Federal awards/activities. </w:t>
      </w:r>
    </w:p>
    <w:p w:rsidR="00593AD3" w:rsidRPr="00126658" w:rsidRDefault="00593AD3" w:rsidP="00593AD3">
      <w:pPr>
        <w:pStyle w:val="Default"/>
        <w:contextualSpacing/>
        <w:jc w:val="both"/>
        <w:rPr>
          <w:color w:val="auto"/>
        </w:rPr>
      </w:pPr>
    </w:p>
    <w:p w:rsidR="00593AD3" w:rsidRPr="00126658" w:rsidRDefault="00593AD3" w:rsidP="003F3717">
      <w:pPr>
        <w:pStyle w:val="CM28"/>
        <w:numPr>
          <w:ilvl w:val="0"/>
          <w:numId w:val="1"/>
        </w:numPr>
        <w:tabs>
          <w:tab w:val="left" w:pos="1080"/>
        </w:tabs>
        <w:ind w:left="1080" w:right="192" w:hanging="360"/>
        <w:contextualSpacing/>
        <w:jc w:val="both"/>
      </w:pPr>
      <w:r w:rsidRPr="00126658">
        <w:t xml:space="preserve">For each allocated central service, the plan must also include the following: </w:t>
      </w:r>
    </w:p>
    <w:p w:rsidR="00593AD3" w:rsidRDefault="00593AD3" w:rsidP="00593AD3">
      <w:pPr>
        <w:pStyle w:val="Default"/>
        <w:contextualSpacing/>
        <w:jc w:val="both"/>
        <w:rPr>
          <w:color w:val="auto"/>
        </w:rPr>
      </w:pPr>
    </w:p>
    <w:p w:rsidR="00593AD3" w:rsidRDefault="00593AD3" w:rsidP="003F3717">
      <w:pPr>
        <w:pStyle w:val="Default"/>
        <w:numPr>
          <w:ilvl w:val="0"/>
          <w:numId w:val="2"/>
        </w:numPr>
        <w:tabs>
          <w:tab w:val="left" w:pos="1440"/>
        </w:tabs>
        <w:ind w:left="1440" w:hanging="360"/>
        <w:contextualSpacing/>
        <w:jc w:val="both"/>
        <w:rPr>
          <w:color w:val="auto"/>
        </w:rPr>
      </w:pPr>
      <w:r w:rsidRPr="00126658">
        <w:rPr>
          <w:color w:val="auto"/>
        </w:rPr>
        <w:t>A brief description of the service *,</w:t>
      </w:r>
    </w:p>
    <w:p w:rsidR="00593AD3" w:rsidRPr="00126658" w:rsidRDefault="00593AD3" w:rsidP="00593AD3">
      <w:pPr>
        <w:pStyle w:val="Default"/>
        <w:tabs>
          <w:tab w:val="left" w:pos="1440"/>
        </w:tabs>
        <w:ind w:left="1440"/>
        <w:contextualSpacing/>
        <w:jc w:val="both"/>
        <w:rPr>
          <w:color w:val="auto"/>
        </w:rPr>
      </w:pPr>
      <w:r w:rsidRPr="00126658">
        <w:rPr>
          <w:color w:val="auto"/>
        </w:rPr>
        <w:t xml:space="preserve"> </w:t>
      </w:r>
    </w:p>
    <w:p w:rsidR="00593AD3" w:rsidRDefault="00593AD3" w:rsidP="003F3717">
      <w:pPr>
        <w:pStyle w:val="Default"/>
        <w:numPr>
          <w:ilvl w:val="0"/>
          <w:numId w:val="2"/>
        </w:numPr>
        <w:tabs>
          <w:tab w:val="left" w:pos="1440"/>
        </w:tabs>
        <w:ind w:left="1440" w:hanging="360"/>
        <w:contextualSpacing/>
        <w:jc w:val="both"/>
        <w:rPr>
          <w:color w:val="auto"/>
        </w:rPr>
      </w:pPr>
      <w:r w:rsidRPr="00126658">
        <w:rPr>
          <w:color w:val="auto"/>
        </w:rPr>
        <w:t xml:space="preserve">Identification of the unit rendering the service and the operating program receiving the service, the items of expense included in the cost of the service; </w:t>
      </w:r>
    </w:p>
    <w:p w:rsidR="00593AD3" w:rsidRPr="00126658" w:rsidRDefault="00593AD3" w:rsidP="00593AD3">
      <w:pPr>
        <w:pStyle w:val="Default"/>
        <w:tabs>
          <w:tab w:val="left" w:pos="1440"/>
        </w:tabs>
        <w:contextualSpacing/>
        <w:jc w:val="both"/>
        <w:rPr>
          <w:color w:val="auto"/>
        </w:rPr>
      </w:pPr>
    </w:p>
    <w:p w:rsidR="00593AD3" w:rsidRDefault="00593AD3" w:rsidP="003F3717">
      <w:pPr>
        <w:pStyle w:val="Default"/>
        <w:numPr>
          <w:ilvl w:val="0"/>
          <w:numId w:val="2"/>
        </w:numPr>
        <w:tabs>
          <w:tab w:val="left" w:pos="1440"/>
        </w:tabs>
        <w:ind w:left="1440" w:hanging="360"/>
        <w:contextualSpacing/>
        <w:jc w:val="both"/>
        <w:rPr>
          <w:color w:val="auto"/>
        </w:rPr>
      </w:pPr>
      <w:r w:rsidRPr="00126658">
        <w:rPr>
          <w:color w:val="auto"/>
        </w:rPr>
        <w:t xml:space="preserve">The method used to distribute the cost of the service to the specific benefited agencies; </w:t>
      </w:r>
    </w:p>
    <w:p w:rsidR="00593AD3" w:rsidRPr="00126658" w:rsidRDefault="00593AD3" w:rsidP="00593AD3">
      <w:pPr>
        <w:pStyle w:val="Default"/>
        <w:tabs>
          <w:tab w:val="left" w:pos="1440"/>
        </w:tabs>
        <w:contextualSpacing/>
        <w:jc w:val="both"/>
        <w:rPr>
          <w:color w:val="auto"/>
        </w:rPr>
      </w:pPr>
    </w:p>
    <w:p w:rsidR="00593AD3" w:rsidRPr="00126658" w:rsidRDefault="00593AD3" w:rsidP="003F3717">
      <w:pPr>
        <w:pStyle w:val="Default"/>
        <w:numPr>
          <w:ilvl w:val="0"/>
          <w:numId w:val="2"/>
        </w:numPr>
        <w:tabs>
          <w:tab w:val="left" w:pos="1440"/>
        </w:tabs>
        <w:ind w:left="1440" w:hanging="360"/>
        <w:contextualSpacing/>
        <w:jc w:val="both"/>
        <w:rPr>
          <w:color w:val="auto"/>
        </w:rPr>
      </w:pPr>
      <w:r w:rsidRPr="00126658">
        <w:rPr>
          <w:color w:val="auto"/>
        </w:rPr>
        <w:t xml:space="preserve">A summary schedule showing the distribution of each service to the specific benefited agencies. </w:t>
      </w:r>
    </w:p>
    <w:p w:rsidR="00F16A72" w:rsidRDefault="00F16A72">
      <w:pPr>
        <w:rPr>
          <w:rFonts w:ascii="Arial" w:hAnsi="Arial" w:cs="Arial"/>
          <w:color w:val="000000"/>
          <w:sz w:val="24"/>
          <w:szCs w:val="24"/>
        </w:rPr>
      </w:pPr>
    </w:p>
    <w:sectPr w:rsidR="00F16A72" w:rsidSect="00CD48F5">
      <w:footerReference w:type="default" r:id="rId8"/>
      <w:type w:val="continuous"/>
      <w:pgSz w:w="12240" w:h="16340"/>
      <w:pgMar w:top="1170" w:right="1080" w:bottom="2012"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D1" w:rsidRPr="005C2A78" w:rsidRDefault="00DF67D1" w:rsidP="005C2A78">
      <w:pPr>
        <w:spacing w:after="0" w:line="240" w:lineRule="auto"/>
      </w:pPr>
      <w:r>
        <w:separator/>
      </w:r>
    </w:p>
  </w:endnote>
  <w:endnote w:type="continuationSeparator" w:id="0">
    <w:p w:rsidR="00DF67D1" w:rsidRPr="005C2A78" w:rsidRDefault="00DF67D1" w:rsidP="005C2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D1" w:rsidRDefault="00DF67D1" w:rsidP="00126658">
    <w:pPr>
      <w:pStyle w:val="Footer"/>
      <w:pBdr>
        <w:top w:val="thinThickSmallGap" w:sz="24" w:space="1" w:color="622423"/>
      </w:pBdr>
      <w:tabs>
        <w:tab w:val="clear" w:pos="4680"/>
        <w:tab w:val="clear" w:pos="9360"/>
        <w:tab w:val="left" w:pos="0"/>
        <w:tab w:val="right" w:pos="5760"/>
      </w:tabs>
      <w:rPr>
        <w:rFonts w:ascii="Arial" w:hAnsi="Arial" w:cs="Arial"/>
        <w:sz w:val="16"/>
        <w:szCs w:val="16"/>
      </w:rPr>
    </w:pPr>
    <w:r>
      <w:rPr>
        <w:rStyle w:val="PageNumber"/>
        <w:rFonts w:ascii="Arial" w:hAnsi="Arial" w:cs="Arial"/>
        <w:sz w:val="16"/>
        <w:szCs w:val="16"/>
      </w:rPr>
      <w:t>Housing Authority of Texarkana, Texas</w:t>
    </w:r>
    <w:r>
      <w:rPr>
        <w:rStyle w:val="PageNumber"/>
        <w:rFonts w:ascii="Arial" w:hAnsi="Arial" w:cs="Arial"/>
        <w:sz w:val="16"/>
        <w:szCs w:val="16"/>
      </w:rPr>
      <w:tab/>
      <w:t xml:space="preserve">                        </w:t>
    </w:r>
    <w:r w:rsidR="003D323D">
      <w:rPr>
        <w:rStyle w:val="PageNumber"/>
        <w:rFonts w:ascii="Arial" w:hAnsi="Arial" w:cs="Arial"/>
        <w:sz w:val="16"/>
        <w:szCs w:val="16"/>
      </w:rPr>
      <w:t>Last Reviewed 7/2012</w:t>
    </w:r>
    <w:r w:rsidR="003D323D">
      <w:rPr>
        <w:rFonts w:ascii="Arial" w:hAnsi="Arial" w:cs="Arial"/>
        <w:sz w:val="16"/>
        <w:szCs w:val="16"/>
      </w:rPr>
      <w:tab/>
      <w:t xml:space="preserve">      </w:t>
    </w:r>
    <w:r>
      <w:rPr>
        <w:rFonts w:ascii="Arial" w:hAnsi="Arial" w:cs="Arial"/>
        <w:sz w:val="16"/>
        <w:szCs w:val="16"/>
      </w:rPr>
      <w:t xml:space="preserve">                                    Page </w:t>
    </w:r>
    <w:r w:rsidR="00C048E9">
      <w:rPr>
        <w:rFonts w:ascii="Arial" w:hAnsi="Arial" w:cs="Arial"/>
        <w:sz w:val="16"/>
        <w:szCs w:val="16"/>
      </w:rPr>
      <w:fldChar w:fldCharType="begin"/>
    </w:r>
    <w:r>
      <w:rPr>
        <w:rFonts w:ascii="Arial" w:hAnsi="Arial" w:cs="Arial"/>
        <w:sz w:val="16"/>
        <w:szCs w:val="16"/>
      </w:rPr>
      <w:instrText xml:space="preserve"> PAGE   \* MERGEFORMAT </w:instrText>
    </w:r>
    <w:r w:rsidR="00C048E9">
      <w:rPr>
        <w:rFonts w:ascii="Arial" w:hAnsi="Arial" w:cs="Arial"/>
        <w:sz w:val="16"/>
        <w:szCs w:val="16"/>
      </w:rPr>
      <w:fldChar w:fldCharType="separate"/>
    </w:r>
    <w:r w:rsidR="003D323D">
      <w:rPr>
        <w:rFonts w:ascii="Arial" w:hAnsi="Arial" w:cs="Arial"/>
        <w:noProof/>
        <w:sz w:val="16"/>
        <w:szCs w:val="16"/>
      </w:rPr>
      <w:t>6</w:t>
    </w:r>
    <w:r w:rsidR="00C048E9">
      <w:rPr>
        <w:rFonts w:ascii="Arial" w:hAnsi="Arial" w:cs="Arial"/>
        <w:sz w:val="16"/>
        <w:szCs w:val="16"/>
      </w:rPr>
      <w:fldChar w:fldCharType="end"/>
    </w:r>
  </w:p>
  <w:p w:rsidR="00DF67D1" w:rsidRDefault="00DF67D1" w:rsidP="00126658">
    <w:pPr>
      <w:pStyle w:val="Footer"/>
      <w:pBdr>
        <w:top w:val="thinThickSmallGap" w:sz="24" w:space="1" w:color="622423"/>
      </w:pBdr>
      <w:tabs>
        <w:tab w:val="clear" w:pos="4680"/>
        <w:tab w:val="clear" w:pos="9360"/>
        <w:tab w:val="left" w:pos="0"/>
        <w:tab w:val="right" w:pos="5310"/>
        <w:tab w:val="right" w:pos="5760"/>
        <w:tab w:val="right" w:pos="10080"/>
      </w:tabs>
      <w:rPr>
        <w:rFonts w:ascii="Arial" w:hAnsi="Arial" w:cs="Arial"/>
        <w:sz w:val="16"/>
        <w:szCs w:val="16"/>
      </w:rPr>
    </w:pPr>
    <w:r>
      <w:rPr>
        <w:rFonts w:ascii="Arial" w:hAnsi="Arial" w:cs="Arial"/>
        <w:sz w:val="16"/>
        <w:szCs w:val="16"/>
      </w:rPr>
      <w:t>Cost Distribution and Fee Recovery Plan</w:t>
    </w:r>
  </w:p>
  <w:p w:rsidR="00DF67D1" w:rsidRPr="00E22B1A" w:rsidRDefault="00DF67D1" w:rsidP="00126658">
    <w:pPr>
      <w:pStyle w:val="Footer"/>
      <w:tabs>
        <w:tab w:val="clear" w:pos="4680"/>
        <w:tab w:val="clear" w:pos="9360"/>
        <w:tab w:val="left" w:pos="0"/>
        <w:tab w:val="right" w:pos="10080"/>
      </w:tabs>
    </w:pPr>
  </w:p>
  <w:p w:rsidR="00DF67D1" w:rsidRDefault="00DF67D1" w:rsidP="00126658">
    <w:pPr>
      <w:pStyle w:val="Footer"/>
      <w:tabs>
        <w:tab w:val="clear" w:pos="4680"/>
        <w:tab w:val="clear" w:pos="9360"/>
        <w:tab w:val="left" w:pos="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D1" w:rsidRPr="005C2A78" w:rsidRDefault="00DF67D1" w:rsidP="005C2A78">
      <w:pPr>
        <w:spacing w:after="0" w:line="240" w:lineRule="auto"/>
      </w:pPr>
      <w:r>
        <w:separator/>
      </w:r>
    </w:p>
  </w:footnote>
  <w:footnote w:type="continuationSeparator" w:id="0">
    <w:p w:rsidR="00DF67D1" w:rsidRPr="005C2A78" w:rsidRDefault="00DF67D1" w:rsidP="005C2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A83"/>
    <w:multiLevelType w:val="hybridMultilevel"/>
    <w:tmpl w:val="8D940A5E"/>
    <w:lvl w:ilvl="0" w:tplc="D49015F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DEE"/>
    <w:multiLevelType w:val="hybridMultilevel"/>
    <w:tmpl w:val="E6A02B06"/>
    <w:lvl w:ilvl="0" w:tplc="5D3E6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20090"/>
    <w:multiLevelType w:val="hybridMultilevel"/>
    <w:tmpl w:val="47505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B0687"/>
    <w:multiLevelType w:val="hybridMultilevel"/>
    <w:tmpl w:val="5CEE94CA"/>
    <w:lvl w:ilvl="0" w:tplc="B260B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86B39"/>
    <w:multiLevelType w:val="hybridMultilevel"/>
    <w:tmpl w:val="C23AAA16"/>
    <w:lvl w:ilvl="0" w:tplc="A448F2FA">
      <w:start w:val="1"/>
      <w:numFmt w:val="decimal"/>
      <w:lvlText w:val="%1."/>
      <w:lvlJc w:val="left"/>
      <w:pPr>
        <w:ind w:left="1980" w:hanging="360"/>
      </w:pPr>
      <w:rPr>
        <w:rFonts w:ascii="Arial" w:eastAsiaTheme="minorEastAsia"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87641"/>
    <w:multiLevelType w:val="hybridMultilevel"/>
    <w:tmpl w:val="35C4F100"/>
    <w:lvl w:ilvl="0" w:tplc="B7A6E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C21A1"/>
    <w:multiLevelType w:val="hybridMultilevel"/>
    <w:tmpl w:val="347CFF08"/>
    <w:lvl w:ilvl="0" w:tplc="D5883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A00789"/>
    <w:multiLevelType w:val="hybridMultilevel"/>
    <w:tmpl w:val="4754D4B4"/>
    <w:lvl w:ilvl="0" w:tplc="EE364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365BF"/>
    <w:multiLevelType w:val="hybridMultilevel"/>
    <w:tmpl w:val="6E541A4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37E69"/>
    <w:multiLevelType w:val="hybridMultilevel"/>
    <w:tmpl w:val="84948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8B7B1"/>
    <w:multiLevelType w:val="hybridMultilevel"/>
    <w:tmpl w:val="4FF0215E"/>
    <w:lvl w:ilvl="0" w:tplc="95984CB0">
      <w:start w:val="1"/>
      <w:numFmt w:val="lowerLetter"/>
      <w:lvlText w:val="%1."/>
      <w:lvlJc w:val="left"/>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0828DC"/>
    <w:multiLevelType w:val="hybridMultilevel"/>
    <w:tmpl w:val="7F624722"/>
    <w:lvl w:ilvl="0" w:tplc="B260B27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627A2"/>
    <w:multiLevelType w:val="hybridMultilevel"/>
    <w:tmpl w:val="45C03F0E"/>
    <w:lvl w:ilvl="0" w:tplc="87262A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531F0"/>
    <w:multiLevelType w:val="hybridMultilevel"/>
    <w:tmpl w:val="F5C881C0"/>
    <w:lvl w:ilvl="0" w:tplc="DC008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817B8"/>
    <w:multiLevelType w:val="hybridMultilevel"/>
    <w:tmpl w:val="2AF6674A"/>
    <w:lvl w:ilvl="0" w:tplc="EF00695E">
      <w:start w:val="1"/>
      <w:numFmt w:val="upperRoman"/>
      <w:pStyle w:val="Header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26D73"/>
    <w:multiLevelType w:val="hybridMultilevel"/>
    <w:tmpl w:val="2C4CBF9A"/>
    <w:lvl w:ilvl="0" w:tplc="D4901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D823AB"/>
    <w:multiLevelType w:val="hybridMultilevel"/>
    <w:tmpl w:val="66C887E4"/>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5E2481"/>
    <w:multiLevelType w:val="hybridMultilevel"/>
    <w:tmpl w:val="32E85210"/>
    <w:lvl w:ilvl="0" w:tplc="E87A4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B2789C"/>
    <w:multiLevelType w:val="hybridMultilevel"/>
    <w:tmpl w:val="977A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1432B"/>
    <w:multiLevelType w:val="hybridMultilevel"/>
    <w:tmpl w:val="1384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4"/>
  </w:num>
  <w:num w:numId="5">
    <w:abstractNumId w:val="8"/>
  </w:num>
  <w:num w:numId="6">
    <w:abstractNumId w:val="5"/>
  </w:num>
  <w:num w:numId="7">
    <w:abstractNumId w:val="17"/>
  </w:num>
  <w:num w:numId="8">
    <w:abstractNumId w:val="1"/>
  </w:num>
  <w:num w:numId="9">
    <w:abstractNumId w:val="0"/>
  </w:num>
  <w:num w:numId="10">
    <w:abstractNumId w:val="15"/>
  </w:num>
  <w:num w:numId="11">
    <w:abstractNumId w:val="11"/>
  </w:num>
  <w:num w:numId="12">
    <w:abstractNumId w:val="3"/>
  </w:num>
  <w:num w:numId="13">
    <w:abstractNumId w:val="6"/>
  </w:num>
  <w:num w:numId="14">
    <w:abstractNumId w:val="7"/>
  </w:num>
  <w:num w:numId="15">
    <w:abstractNumId w:val="18"/>
  </w:num>
  <w:num w:numId="16">
    <w:abstractNumId w:val="14"/>
  </w:num>
  <w:num w:numId="17">
    <w:abstractNumId w:val="9"/>
  </w:num>
  <w:num w:numId="18">
    <w:abstractNumId w:val="13"/>
  </w:num>
  <w:num w:numId="19">
    <w:abstractNumId w:val="2"/>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A7E"/>
    <w:rsid w:val="000100CF"/>
    <w:rsid w:val="000140CE"/>
    <w:rsid w:val="00024C2F"/>
    <w:rsid w:val="0008554D"/>
    <w:rsid w:val="000C2AEC"/>
    <w:rsid w:val="000E0DC2"/>
    <w:rsid w:val="000E2A0F"/>
    <w:rsid w:val="000F4850"/>
    <w:rsid w:val="001133CA"/>
    <w:rsid w:val="00116398"/>
    <w:rsid w:val="00126658"/>
    <w:rsid w:val="001365B9"/>
    <w:rsid w:val="00141B2F"/>
    <w:rsid w:val="00145206"/>
    <w:rsid w:val="001752CE"/>
    <w:rsid w:val="001F1E0B"/>
    <w:rsid w:val="0021114D"/>
    <w:rsid w:val="0023217C"/>
    <w:rsid w:val="002405A4"/>
    <w:rsid w:val="0027583D"/>
    <w:rsid w:val="002776BE"/>
    <w:rsid w:val="002C33ED"/>
    <w:rsid w:val="002D4ACD"/>
    <w:rsid w:val="003037ED"/>
    <w:rsid w:val="00316664"/>
    <w:rsid w:val="0033251B"/>
    <w:rsid w:val="00336158"/>
    <w:rsid w:val="003C283D"/>
    <w:rsid w:val="003D323D"/>
    <w:rsid w:val="003E5243"/>
    <w:rsid w:val="003F2D05"/>
    <w:rsid w:val="003F3717"/>
    <w:rsid w:val="00427DAD"/>
    <w:rsid w:val="00451B54"/>
    <w:rsid w:val="00496E27"/>
    <w:rsid w:val="004D47BF"/>
    <w:rsid w:val="00501922"/>
    <w:rsid w:val="0050499B"/>
    <w:rsid w:val="00507A82"/>
    <w:rsid w:val="00514173"/>
    <w:rsid w:val="0052289A"/>
    <w:rsid w:val="00525996"/>
    <w:rsid w:val="00574C56"/>
    <w:rsid w:val="00593AD3"/>
    <w:rsid w:val="005C2A78"/>
    <w:rsid w:val="00615D1B"/>
    <w:rsid w:val="006306D7"/>
    <w:rsid w:val="006338BB"/>
    <w:rsid w:val="006C01B1"/>
    <w:rsid w:val="0074785C"/>
    <w:rsid w:val="00756BA8"/>
    <w:rsid w:val="007642D8"/>
    <w:rsid w:val="007B765E"/>
    <w:rsid w:val="00804D80"/>
    <w:rsid w:val="00805B53"/>
    <w:rsid w:val="008279C9"/>
    <w:rsid w:val="0084064A"/>
    <w:rsid w:val="00851D02"/>
    <w:rsid w:val="0088679C"/>
    <w:rsid w:val="008A4FE4"/>
    <w:rsid w:val="008D1462"/>
    <w:rsid w:val="009038FA"/>
    <w:rsid w:val="00913D07"/>
    <w:rsid w:val="009425F8"/>
    <w:rsid w:val="009856C7"/>
    <w:rsid w:val="009A39F3"/>
    <w:rsid w:val="009B62E1"/>
    <w:rsid w:val="00A30969"/>
    <w:rsid w:val="00A73A55"/>
    <w:rsid w:val="00AB0A7E"/>
    <w:rsid w:val="00AD2713"/>
    <w:rsid w:val="00AE2AF9"/>
    <w:rsid w:val="00AF1E50"/>
    <w:rsid w:val="00AF5959"/>
    <w:rsid w:val="00B00901"/>
    <w:rsid w:val="00B00EFF"/>
    <w:rsid w:val="00B24553"/>
    <w:rsid w:val="00B51848"/>
    <w:rsid w:val="00B63463"/>
    <w:rsid w:val="00B86A32"/>
    <w:rsid w:val="00BA3BD7"/>
    <w:rsid w:val="00BC4FA7"/>
    <w:rsid w:val="00BE3A48"/>
    <w:rsid w:val="00C048E9"/>
    <w:rsid w:val="00C24842"/>
    <w:rsid w:val="00C32049"/>
    <w:rsid w:val="00C65BB9"/>
    <w:rsid w:val="00CC27EB"/>
    <w:rsid w:val="00CD48F5"/>
    <w:rsid w:val="00CE10FC"/>
    <w:rsid w:val="00D106DB"/>
    <w:rsid w:val="00D461C3"/>
    <w:rsid w:val="00DF67D1"/>
    <w:rsid w:val="00E11251"/>
    <w:rsid w:val="00E7408A"/>
    <w:rsid w:val="00E82B89"/>
    <w:rsid w:val="00EB7E6C"/>
    <w:rsid w:val="00F106E2"/>
    <w:rsid w:val="00F16A72"/>
    <w:rsid w:val="00F16C47"/>
    <w:rsid w:val="00F26B6C"/>
    <w:rsid w:val="00F31AAD"/>
    <w:rsid w:val="00F3795D"/>
    <w:rsid w:val="00F54D9E"/>
    <w:rsid w:val="00F57618"/>
    <w:rsid w:val="00F7615F"/>
    <w:rsid w:val="00FE6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C3"/>
  </w:style>
  <w:style w:type="paragraph" w:styleId="Heading1">
    <w:name w:val="heading 1"/>
    <w:basedOn w:val="Heading10"/>
    <w:next w:val="Normal"/>
    <w:link w:val="Heading1Char"/>
    <w:uiPriority w:val="9"/>
    <w:qFormat/>
    <w:rsid w:val="00CC27EB"/>
    <w:pPr>
      <w:outlineLvl w:val="0"/>
    </w:pPr>
    <w:rPr>
      <w:b w:val="0"/>
    </w:rPr>
  </w:style>
  <w:style w:type="paragraph" w:styleId="Heading2">
    <w:name w:val="heading 2"/>
    <w:basedOn w:val="Normal"/>
    <w:next w:val="Normal"/>
    <w:link w:val="Heading2Char"/>
    <w:uiPriority w:val="9"/>
    <w:semiHidden/>
    <w:unhideWhenUsed/>
    <w:qFormat/>
    <w:rsid w:val="00DF6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461C3"/>
    <w:pPr>
      <w:widowControl w:val="0"/>
      <w:autoSpaceDE w:val="0"/>
      <w:autoSpaceDN w:val="0"/>
      <w:adjustRightInd w:val="0"/>
      <w:spacing w:after="0" w:line="240" w:lineRule="auto"/>
    </w:pPr>
    <w:rPr>
      <w:rFonts w:ascii="Arial" w:hAnsi="Arial" w:cs="Arial"/>
      <w:color w:val="000000"/>
      <w:sz w:val="24"/>
      <w:szCs w:val="24"/>
    </w:rPr>
  </w:style>
  <w:style w:type="paragraph" w:customStyle="1" w:styleId="CM27">
    <w:name w:val="CM27"/>
    <w:basedOn w:val="Default"/>
    <w:next w:val="Default"/>
    <w:uiPriority w:val="99"/>
    <w:rsid w:val="00D461C3"/>
    <w:rPr>
      <w:color w:val="auto"/>
    </w:rPr>
  </w:style>
  <w:style w:type="paragraph" w:customStyle="1" w:styleId="CM1">
    <w:name w:val="CM1"/>
    <w:basedOn w:val="Default"/>
    <w:next w:val="Default"/>
    <w:uiPriority w:val="99"/>
    <w:rsid w:val="00D461C3"/>
    <w:rPr>
      <w:color w:val="auto"/>
    </w:rPr>
  </w:style>
  <w:style w:type="paragraph" w:customStyle="1" w:styleId="CM28">
    <w:name w:val="CM28"/>
    <w:basedOn w:val="Default"/>
    <w:next w:val="Default"/>
    <w:link w:val="CM28Char"/>
    <w:uiPriority w:val="99"/>
    <w:rsid w:val="00D461C3"/>
    <w:rPr>
      <w:color w:val="auto"/>
    </w:rPr>
  </w:style>
  <w:style w:type="paragraph" w:customStyle="1" w:styleId="CM2">
    <w:name w:val="CM2"/>
    <w:basedOn w:val="Default"/>
    <w:next w:val="Default"/>
    <w:uiPriority w:val="99"/>
    <w:rsid w:val="00D461C3"/>
    <w:pPr>
      <w:spacing w:line="231" w:lineRule="atLeast"/>
    </w:pPr>
    <w:rPr>
      <w:color w:val="auto"/>
    </w:rPr>
  </w:style>
  <w:style w:type="paragraph" w:customStyle="1" w:styleId="CM3">
    <w:name w:val="CM3"/>
    <w:basedOn w:val="Default"/>
    <w:next w:val="Default"/>
    <w:uiPriority w:val="99"/>
    <w:rsid w:val="00D461C3"/>
    <w:pPr>
      <w:spacing w:line="231" w:lineRule="atLeast"/>
    </w:pPr>
    <w:rPr>
      <w:color w:val="auto"/>
    </w:rPr>
  </w:style>
  <w:style w:type="paragraph" w:customStyle="1" w:styleId="CM30">
    <w:name w:val="CM30"/>
    <w:basedOn w:val="Default"/>
    <w:next w:val="Default"/>
    <w:link w:val="CM30Char"/>
    <w:uiPriority w:val="99"/>
    <w:rsid w:val="00D461C3"/>
    <w:rPr>
      <w:color w:val="auto"/>
    </w:rPr>
  </w:style>
  <w:style w:type="paragraph" w:customStyle="1" w:styleId="CM5">
    <w:name w:val="CM5"/>
    <w:basedOn w:val="Default"/>
    <w:next w:val="Default"/>
    <w:uiPriority w:val="99"/>
    <w:rsid w:val="00D461C3"/>
    <w:pPr>
      <w:spacing w:line="243" w:lineRule="atLeast"/>
    </w:pPr>
    <w:rPr>
      <w:color w:val="auto"/>
    </w:rPr>
  </w:style>
  <w:style w:type="paragraph" w:customStyle="1" w:styleId="CM31">
    <w:name w:val="CM31"/>
    <w:basedOn w:val="Default"/>
    <w:next w:val="Default"/>
    <w:uiPriority w:val="99"/>
    <w:rsid w:val="00D461C3"/>
    <w:rPr>
      <w:color w:val="auto"/>
    </w:rPr>
  </w:style>
  <w:style w:type="paragraph" w:customStyle="1" w:styleId="CM32">
    <w:name w:val="CM32"/>
    <w:basedOn w:val="Default"/>
    <w:next w:val="Default"/>
    <w:uiPriority w:val="99"/>
    <w:rsid w:val="00D461C3"/>
    <w:rPr>
      <w:color w:val="auto"/>
    </w:rPr>
  </w:style>
  <w:style w:type="paragraph" w:customStyle="1" w:styleId="CM8">
    <w:name w:val="CM8"/>
    <w:basedOn w:val="Default"/>
    <w:next w:val="Default"/>
    <w:uiPriority w:val="99"/>
    <w:rsid w:val="00D461C3"/>
    <w:rPr>
      <w:color w:val="auto"/>
    </w:rPr>
  </w:style>
  <w:style w:type="paragraph" w:customStyle="1" w:styleId="CM9">
    <w:name w:val="CM9"/>
    <w:basedOn w:val="Default"/>
    <w:next w:val="Default"/>
    <w:uiPriority w:val="99"/>
    <w:rsid w:val="00D461C3"/>
    <w:pPr>
      <w:spacing w:line="231" w:lineRule="atLeast"/>
    </w:pPr>
    <w:rPr>
      <w:color w:val="auto"/>
    </w:rPr>
  </w:style>
  <w:style w:type="paragraph" w:customStyle="1" w:styleId="CM10">
    <w:name w:val="CM10"/>
    <w:basedOn w:val="Default"/>
    <w:next w:val="Default"/>
    <w:uiPriority w:val="99"/>
    <w:rsid w:val="00D461C3"/>
    <w:pPr>
      <w:spacing w:line="231" w:lineRule="atLeast"/>
    </w:pPr>
    <w:rPr>
      <w:color w:val="auto"/>
    </w:rPr>
  </w:style>
  <w:style w:type="paragraph" w:customStyle="1" w:styleId="CM11">
    <w:name w:val="CM11"/>
    <w:basedOn w:val="Default"/>
    <w:next w:val="Default"/>
    <w:uiPriority w:val="99"/>
    <w:rsid w:val="00D461C3"/>
    <w:pPr>
      <w:spacing w:line="231" w:lineRule="atLeast"/>
    </w:pPr>
    <w:rPr>
      <w:color w:val="auto"/>
    </w:rPr>
  </w:style>
  <w:style w:type="paragraph" w:customStyle="1" w:styleId="CM12">
    <w:name w:val="CM12"/>
    <w:basedOn w:val="Default"/>
    <w:next w:val="Default"/>
    <w:uiPriority w:val="99"/>
    <w:rsid w:val="00D461C3"/>
    <w:pPr>
      <w:spacing w:line="231" w:lineRule="atLeast"/>
    </w:pPr>
    <w:rPr>
      <w:color w:val="auto"/>
    </w:rPr>
  </w:style>
  <w:style w:type="paragraph" w:customStyle="1" w:styleId="CM13">
    <w:name w:val="CM13"/>
    <w:basedOn w:val="Default"/>
    <w:next w:val="Default"/>
    <w:uiPriority w:val="99"/>
    <w:rsid w:val="00D461C3"/>
    <w:pPr>
      <w:spacing w:line="231" w:lineRule="atLeast"/>
    </w:pPr>
    <w:rPr>
      <w:color w:val="auto"/>
    </w:rPr>
  </w:style>
  <w:style w:type="paragraph" w:customStyle="1" w:styleId="CM14">
    <w:name w:val="CM14"/>
    <w:basedOn w:val="Default"/>
    <w:next w:val="Default"/>
    <w:uiPriority w:val="99"/>
    <w:rsid w:val="00D461C3"/>
    <w:pPr>
      <w:spacing w:line="231" w:lineRule="atLeast"/>
    </w:pPr>
    <w:rPr>
      <w:color w:val="auto"/>
    </w:rPr>
  </w:style>
  <w:style w:type="paragraph" w:customStyle="1" w:styleId="CM15">
    <w:name w:val="CM15"/>
    <w:basedOn w:val="Default"/>
    <w:next w:val="Default"/>
    <w:uiPriority w:val="99"/>
    <w:rsid w:val="00D461C3"/>
    <w:pPr>
      <w:spacing w:line="231" w:lineRule="atLeast"/>
    </w:pPr>
    <w:rPr>
      <w:color w:val="auto"/>
    </w:rPr>
  </w:style>
  <w:style w:type="paragraph" w:customStyle="1" w:styleId="CM34">
    <w:name w:val="CM34"/>
    <w:basedOn w:val="Default"/>
    <w:next w:val="Default"/>
    <w:uiPriority w:val="99"/>
    <w:rsid w:val="00D461C3"/>
    <w:rPr>
      <w:color w:val="auto"/>
    </w:rPr>
  </w:style>
  <w:style w:type="paragraph" w:customStyle="1" w:styleId="CM16">
    <w:name w:val="CM16"/>
    <w:basedOn w:val="Default"/>
    <w:next w:val="Default"/>
    <w:uiPriority w:val="99"/>
    <w:rsid w:val="00D461C3"/>
    <w:rPr>
      <w:color w:val="auto"/>
    </w:rPr>
  </w:style>
  <w:style w:type="paragraph" w:customStyle="1" w:styleId="CM17">
    <w:name w:val="CM17"/>
    <w:basedOn w:val="Default"/>
    <w:next w:val="Default"/>
    <w:uiPriority w:val="99"/>
    <w:rsid w:val="00D461C3"/>
    <w:pPr>
      <w:spacing w:line="231" w:lineRule="atLeast"/>
    </w:pPr>
    <w:rPr>
      <w:color w:val="auto"/>
    </w:rPr>
  </w:style>
  <w:style w:type="paragraph" w:customStyle="1" w:styleId="CM18">
    <w:name w:val="CM18"/>
    <w:basedOn w:val="Default"/>
    <w:next w:val="Default"/>
    <w:uiPriority w:val="99"/>
    <w:rsid w:val="00D461C3"/>
    <w:pPr>
      <w:spacing w:line="231" w:lineRule="atLeast"/>
    </w:pPr>
    <w:rPr>
      <w:color w:val="auto"/>
    </w:rPr>
  </w:style>
  <w:style w:type="paragraph" w:customStyle="1" w:styleId="CM20">
    <w:name w:val="CM20"/>
    <w:basedOn w:val="Default"/>
    <w:next w:val="Default"/>
    <w:uiPriority w:val="99"/>
    <w:rsid w:val="00D461C3"/>
    <w:rPr>
      <w:color w:val="auto"/>
    </w:rPr>
  </w:style>
  <w:style w:type="paragraph" w:customStyle="1" w:styleId="CM21">
    <w:name w:val="CM21"/>
    <w:basedOn w:val="Default"/>
    <w:next w:val="Default"/>
    <w:uiPriority w:val="99"/>
    <w:rsid w:val="00D461C3"/>
    <w:pPr>
      <w:spacing w:line="231" w:lineRule="atLeast"/>
    </w:pPr>
    <w:rPr>
      <w:color w:val="auto"/>
    </w:rPr>
  </w:style>
  <w:style w:type="paragraph" w:customStyle="1" w:styleId="CM35">
    <w:name w:val="CM35"/>
    <w:basedOn w:val="Default"/>
    <w:next w:val="Default"/>
    <w:uiPriority w:val="99"/>
    <w:rsid w:val="00D461C3"/>
    <w:rPr>
      <w:color w:val="auto"/>
    </w:rPr>
  </w:style>
  <w:style w:type="paragraph" w:customStyle="1" w:styleId="CM22">
    <w:name w:val="CM22"/>
    <w:basedOn w:val="Default"/>
    <w:next w:val="Default"/>
    <w:uiPriority w:val="99"/>
    <w:rsid w:val="00D461C3"/>
    <w:rPr>
      <w:color w:val="auto"/>
    </w:rPr>
  </w:style>
  <w:style w:type="paragraph" w:customStyle="1" w:styleId="CM23">
    <w:name w:val="CM23"/>
    <w:basedOn w:val="Default"/>
    <w:next w:val="Default"/>
    <w:uiPriority w:val="99"/>
    <w:rsid w:val="00D461C3"/>
    <w:rPr>
      <w:color w:val="auto"/>
    </w:rPr>
  </w:style>
  <w:style w:type="paragraph" w:customStyle="1" w:styleId="CM36">
    <w:name w:val="CM36"/>
    <w:basedOn w:val="Default"/>
    <w:next w:val="Default"/>
    <w:uiPriority w:val="99"/>
    <w:rsid w:val="00D461C3"/>
    <w:rPr>
      <w:color w:val="auto"/>
    </w:rPr>
  </w:style>
  <w:style w:type="paragraph" w:customStyle="1" w:styleId="CM37">
    <w:name w:val="CM37"/>
    <w:basedOn w:val="Default"/>
    <w:next w:val="Default"/>
    <w:uiPriority w:val="99"/>
    <w:rsid w:val="00D461C3"/>
    <w:rPr>
      <w:color w:val="auto"/>
    </w:rPr>
  </w:style>
  <w:style w:type="paragraph" w:customStyle="1" w:styleId="CM24">
    <w:name w:val="CM24"/>
    <w:basedOn w:val="Default"/>
    <w:next w:val="Default"/>
    <w:uiPriority w:val="99"/>
    <w:rsid w:val="00D461C3"/>
    <w:rPr>
      <w:color w:val="auto"/>
    </w:rPr>
  </w:style>
  <w:style w:type="paragraph" w:customStyle="1" w:styleId="CM25">
    <w:name w:val="CM25"/>
    <w:basedOn w:val="Default"/>
    <w:next w:val="Default"/>
    <w:uiPriority w:val="99"/>
    <w:rsid w:val="00D461C3"/>
    <w:pPr>
      <w:spacing w:line="193" w:lineRule="atLeast"/>
    </w:pPr>
    <w:rPr>
      <w:color w:val="auto"/>
    </w:rPr>
  </w:style>
  <w:style w:type="paragraph" w:customStyle="1" w:styleId="CM26">
    <w:name w:val="CM26"/>
    <w:basedOn w:val="Default"/>
    <w:next w:val="Default"/>
    <w:uiPriority w:val="99"/>
    <w:rsid w:val="00D461C3"/>
    <w:pPr>
      <w:spacing w:line="231" w:lineRule="atLeast"/>
    </w:pPr>
    <w:rPr>
      <w:color w:val="auto"/>
    </w:rPr>
  </w:style>
  <w:style w:type="paragraph" w:styleId="BalloonText">
    <w:name w:val="Balloon Text"/>
    <w:basedOn w:val="Normal"/>
    <w:link w:val="BalloonTextChar"/>
    <w:uiPriority w:val="99"/>
    <w:semiHidden/>
    <w:unhideWhenUsed/>
    <w:rsid w:val="0042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AD"/>
    <w:rPr>
      <w:rFonts w:ascii="Tahoma" w:hAnsi="Tahoma" w:cs="Tahoma"/>
      <w:sz w:val="16"/>
      <w:szCs w:val="16"/>
    </w:rPr>
  </w:style>
  <w:style w:type="paragraph" w:styleId="Header">
    <w:name w:val="header"/>
    <w:basedOn w:val="Normal"/>
    <w:link w:val="HeaderChar"/>
    <w:uiPriority w:val="99"/>
    <w:semiHidden/>
    <w:unhideWhenUsed/>
    <w:rsid w:val="005C2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A78"/>
  </w:style>
  <w:style w:type="paragraph" w:styleId="Footer">
    <w:name w:val="footer"/>
    <w:basedOn w:val="Normal"/>
    <w:link w:val="FooterChar"/>
    <w:uiPriority w:val="99"/>
    <w:unhideWhenUsed/>
    <w:rsid w:val="005C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78"/>
  </w:style>
  <w:style w:type="character" w:styleId="PageNumber">
    <w:name w:val="page number"/>
    <w:basedOn w:val="DefaultParagraphFont"/>
    <w:uiPriority w:val="99"/>
    <w:rsid w:val="00F3795D"/>
  </w:style>
  <w:style w:type="paragraph" w:customStyle="1" w:styleId="Style1">
    <w:name w:val="Style1"/>
    <w:basedOn w:val="Heading1"/>
    <w:link w:val="Style1Char"/>
    <w:qFormat/>
    <w:rsid w:val="00CC27EB"/>
    <w:rPr>
      <w:b/>
      <w:caps/>
      <w:color w:val="000000" w:themeColor="text1"/>
      <w:u w:val="single"/>
    </w:rPr>
  </w:style>
  <w:style w:type="paragraph" w:customStyle="1" w:styleId="Heading10">
    <w:name w:val="Heading1"/>
    <w:basedOn w:val="CM30"/>
    <w:link w:val="Heading1Char0"/>
    <w:qFormat/>
    <w:rsid w:val="00CC27EB"/>
    <w:pPr>
      <w:pageBreakBefore/>
      <w:spacing w:after="332" w:line="323" w:lineRule="atLeast"/>
      <w:ind w:left="360" w:hanging="360"/>
    </w:pPr>
    <w:rPr>
      <w:b/>
      <w:i/>
    </w:rPr>
  </w:style>
  <w:style w:type="character" w:customStyle="1" w:styleId="Heading1Char">
    <w:name w:val="Heading 1 Char"/>
    <w:basedOn w:val="DefaultParagraphFont"/>
    <w:link w:val="Heading1"/>
    <w:uiPriority w:val="9"/>
    <w:rsid w:val="00CC27EB"/>
    <w:rPr>
      <w:rFonts w:ascii="Arial" w:hAnsi="Arial" w:cs="Arial"/>
      <w:b/>
      <w:sz w:val="24"/>
      <w:szCs w:val="24"/>
    </w:rPr>
  </w:style>
  <w:style w:type="character" w:customStyle="1" w:styleId="Style1Char">
    <w:name w:val="Style1 Char"/>
    <w:basedOn w:val="Heading1Char"/>
    <w:link w:val="Style1"/>
    <w:rsid w:val="00CC27EB"/>
    <w:rPr>
      <w:i/>
      <w:caps/>
      <w:color w:val="000000" w:themeColor="text1"/>
      <w:u w:val="single"/>
    </w:rPr>
  </w:style>
  <w:style w:type="paragraph" w:customStyle="1" w:styleId="Style2">
    <w:name w:val="Style2"/>
    <w:basedOn w:val="CM28"/>
    <w:link w:val="Style2Char"/>
    <w:qFormat/>
    <w:rsid w:val="00F16C47"/>
    <w:pPr>
      <w:tabs>
        <w:tab w:val="left" w:pos="360"/>
        <w:tab w:val="left" w:pos="720"/>
      </w:tabs>
      <w:spacing w:after="237" w:line="231" w:lineRule="atLeast"/>
      <w:ind w:left="720" w:right="97" w:hanging="720"/>
    </w:pPr>
    <w:rPr>
      <w:b/>
      <w:color w:val="000000"/>
    </w:rPr>
  </w:style>
  <w:style w:type="character" w:customStyle="1" w:styleId="DefaultChar">
    <w:name w:val="Default Char"/>
    <w:basedOn w:val="DefaultParagraphFont"/>
    <w:link w:val="Default"/>
    <w:rsid w:val="00126658"/>
    <w:rPr>
      <w:rFonts w:ascii="Arial" w:hAnsi="Arial" w:cs="Arial"/>
      <w:color w:val="000000"/>
      <w:sz w:val="24"/>
      <w:szCs w:val="24"/>
    </w:rPr>
  </w:style>
  <w:style w:type="character" w:customStyle="1" w:styleId="CM30Char">
    <w:name w:val="CM30 Char"/>
    <w:basedOn w:val="DefaultChar"/>
    <w:link w:val="CM30"/>
    <w:uiPriority w:val="99"/>
    <w:rsid w:val="00126658"/>
  </w:style>
  <w:style w:type="character" w:customStyle="1" w:styleId="Heading1Char0">
    <w:name w:val="Heading1 Char"/>
    <w:basedOn w:val="CM30Char"/>
    <w:link w:val="Heading10"/>
    <w:rsid w:val="00126658"/>
  </w:style>
  <w:style w:type="paragraph" w:customStyle="1" w:styleId="Style3">
    <w:name w:val="Style3"/>
    <w:basedOn w:val="Default"/>
    <w:link w:val="Style3Char"/>
    <w:qFormat/>
    <w:rsid w:val="00F16C47"/>
    <w:pPr>
      <w:tabs>
        <w:tab w:val="left" w:pos="1080"/>
      </w:tabs>
      <w:spacing w:line="228" w:lineRule="atLeast"/>
      <w:ind w:firstLine="720"/>
    </w:pPr>
  </w:style>
  <w:style w:type="character" w:customStyle="1" w:styleId="CM28Char">
    <w:name w:val="CM28 Char"/>
    <w:basedOn w:val="DefaultChar"/>
    <w:link w:val="CM28"/>
    <w:uiPriority w:val="99"/>
    <w:rsid w:val="00F16C47"/>
  </w:style>
  <w:style w:type="character" w:customStyle="1" w:styleId="Style2Char">
    <w:name w:val="Style2 Char"/>
    <w:basedOn w:val="CM28Char"/>
    <w:link w:val="Style2"/>
    <w:rsid w:val="00F16C47"/>
    <w:rPr>
      <w:b/>
      <w:color w:val="000000"/>
    </w:rPr>
  </w:style>
  <w:style w:type="table" w:styleId="TableGrid">
    <w:name w:val="Table Grid"/>
    <w:basedOn w:val="TableNormal"/>
    <w:uiPriority w:val="59"/>
    <w:rsid w:val="006C0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3Char">
    <w:name w:val="Style3 Char"/>
    <w:basedOn w:val="DefaultChar"/>
    <w:link w:val="Style3"/>
    <w:rsid w:val="00F16C47"/>
  </w:style>
  <w:style w:type="paragraph" w:styleId="ListParagraph">
    <w:name w:val="List Paragraph"/>
    <w:basedOn w:val="Normal"/>
    <w:uiPriority w:val="34"/>
    <w:qFormat/>
    <w:rsid w:val="001752CE"/>
    <w:pPr>
      <w:ind w:left="720"/>
      <w:contextualSpacing/>
    </w:pPr>
  </w:style>
  <w:style w:type="character" w:styleId="CommentReference">
    <w:name w:val="annotation reference"/>
    <w:basedOn w:val="DefaultParagraphFont"/>
    <w:uiPriority w:val="99"/>
    <w:semiHidden/>
    <w:unhideWhenUsed/>
    <w:rsid w:val="00BE3A48"/>
    <w:rPr>
      <w:sz w:val="16"/>
      <w:szCs w:val="16"/>
    </w:rPr>
  </w:style>
  <w:style w:type="paragraph" w:styleId="CommentText">
    <w:name w:val="annotation text"/>
    <w:basedOn w:val="Normal"/>
    <w:link w:val="CommentTextChar"/>
    <w:uiPriority w:val="99"/>
    <w:semiHidden/>
    <w:unhideWhenUsed/>
    <w:rsid w:val="00BE3A48"/>
    <w:pPr>
      <w:spacing w:line="240" w:lineRule="auto"/>
    </w:pPr>
    <w:rPr>
      <w:sz w:val="20"/>
      <w:szCs w:val="20"/>
    </w:rPr>
  </w:style>
  <w:style w:type="character" w:customStyle="1" w:styleId="CommentTextChar">
    <w:name w:val="Comment Text Char"/>
    <w:basedOn w:val="DefaultParagraphFont"/>
    <w:link w:val="CommentText"/>
    <w:uiPriority w:val="99"/>
    <w:semiHidden/>
    <w:rsid w:val="00BE3A48"/>
    <w:rPr>
      <w:sz w:val="20"/>
      <w:szCs w:val="20"/>
    </w:rPr>
  </w:style>
  <w:style w:type="paragraph" w:styleId="CommentSubject">
    <w:name w:val="annotation subject"/>
    <w:basedOn w:val="CommentText"/>
    <w:next w:val="CommentText"/>
    <w:link w:val="CommentSubjectChar"/>
    <w:uiPriority w:val="99"/>
    <w:semiHidden/>
    <w:unhideWhenUsed/>
    <w:rsid w:val="00BE3A48"/>
    <w:rPr>
      <w:b/>
      <w:bCs/>
    </w:rPr>
  </w:style>
  <w:style w:type="character" w:customStyle="1" w:styleId="CommentSubjectChar">
    <w:name w:val="Comment Subject Char"/>
    <w:basedOn w:val="CommentTextChar"/>
    <w:link w:val="CommentSubject"/>
    <w:uiPriority w:val="99"/>
    <w:semiHidden/>
    <w:rsid w:val="00BE3A48"/>
    <w:rPr>
      <w:b/>
      <w:bCs/>
    </w:rPr>
  </w:style>
  <w:style w:type="paragraph" w:styleId="NormalWeb">
    <w:name w:val="Normal (Web)"/>
    <w:basedOn w:val="Normal"/>
    <w:uiPriority w:val="99"/>
    <w:semiHidden/>
    <w:unhideWhenUsed/>
    <w:rsid w:val="00913D07"/>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B7E6C"/>
    <w:pPr>
      <w:tabs>
        <w:tab w:val="left" w:pos="450"/>
        <w:tab w:val="right" w:leader="dot" w:pos="10070"/>
      </w:tabs>
      <w:spacing w:before="120" w:after="120"/>
    </w:pPr>
    <w:rPr>
      <w:b/>
      <w:bCs/>
      <w:caps/>
      <w:sz w:val="20"/>
      <w:szCs w:val="20"/>
    </w:rPr>
  </w:style>
  <w:style w:type="paragraph" w:styleId="TOC2">
    <w:name w:val="toc 2"/>
    <w:basedOn w:val="Normal"/>
    <w:next w:val="Normal"/>
    <w:autoRedefine/>
    <w:uiPriority w:val="39"/>
    <w:unhideWhenUsed/>
    <w:rsid w:val="00DF67D1"/>
    <w:pPr>
      <w:tabs>
        <w:tab w:val="left" w:pos="720"/>
        <w:tab w:val="right" w:leader="dot" w:pos="10070"/>
      </w:tabs>
      <w:spacing w:after="0"/>
      <w:ind w:left="220"/>
    </w:pPr>
    <w:rPr>
      <w:smallCaps/>
      <w:sz w:val="20"/>
      <w:szCs w:val="20"/>
    </w:rPr>
  </w:style>
  <w:style w:type="paragraph" w:styleId="TOC3">
    <w:name w:val="toc 3"/>
    <w:basedOn w:val="Normal"/>
    <w:next w:val="Normal"/>
    <w:autoRedefine/>
    <w:uiPriority w:val="39"/>
    <w:unhideWhenUsed/>
    <w:rsid w:val="007642D8"/>
    <w:pPr>
      <w:spacing w:after="0"/>
      <w:ind w:left="440"/>
    </w:pPr>
    <w:rPr>
      <w:i/>
      <w:iCs/>
      <w:sz w:val="20"/>
      <w:szCs w:val="20"/>
    </w:rPr>
  </w:style>
  <w:style w:type="paragraph" w:styleId="TOC4">
    <w:name w:val="toc 4"/>
    <w:basedOn w:val="Normal"/>
    <w:next w:val="Normal"/>
    <w:autoRedefine/>
    <w:uiPriority w:val="39"/>
    <w:unhideWhenUsed/>
    <w:rsid w:val="007642D8"/>
    <w:pPr>
      <w:spacing w:after="0"/>
      <w:ind w:left="660"/>
    </w:pPr>
    <w:rPr>
      <w:sz w:val="18"/>
      <w:szCs w:val="18"/>
    </w:rPr>
  </w:style>
  <w:style w:type="paragraph" w:styleId="TOC5">
    <w:name w:val="toc 5"/>
    <w:basedOn w:val="Normal"/>
    <w:next w:val="Normal"/>
    <w:autoRedefine/>
    <w:uiPriority w:val="39"/>
    <w:unhideWhenUsed/>
    <w:rsid w:val="007642D8"/>
    <w:pPr>
      <w:spacing w:after="0"/>
      <w:ind w:left="880"/>
    </w:pPr>
    <w:rPr>
      <w:sz w:val="18"/>
      <w:szCs w:val="18"/>
    </w:rPr>
  </w:style>
  <w:style w:type="paragraph" w:styleId="TOC6">
    <w:name w:val="toc 6"/>
    <w:basedOn w:val="Normal"/>
    <w:next w:val="Normal"/>
    <w:autoRedefine/>
    <w:uiPriority w:val="39"/>
    <w:unhideWhenUsed/>
    <w:rsid w:val="007642D8"/>
    <w:pPr>
      <w:spacing w:after="0"/>
      <w:ind w:left="1100"/>
    </w:pPr>
    <w:rPr>
      <w:sz w:val="18"/>
      <w:szCs w:val="18"/>
    </w:rPr>
  </w:style>
  <w:style w:type="paragraph" w:styleId="TOC7">
    <w:name w:val="toc 7"/>
    <w:basedOn w:val="Normal"/>
    <w:next w:val="Normal"/>
    <w:autoRedefine/>
    <w:uiPriority w:val="39"/>
    <w:unhideWhenUsed/>
    <w:rsid w:val="007642D8"/>
    <w:pPr>
      <w:spacing w:after="0"/>
      <w:ind w:left="1320"/>
    </w:pPr>
    <w:rPr>
      <w:sz w:val="18"/>
      <w:szCs w:val="18"/>
    </w:rPr>
  </w:style>
  <w:style w:type="paragraph" w:styleId="TOC8">
    <w:name w:val="toc 8"/>
    <w:basedOn w:val="Normal"/>
    <w:next w:val="Normal"/>
    <w:autoRedefine/>
    <w:uiPriority w:val="39"/>
    <w:unhideWhenUsed/>
    <w:rsid w:val="007642D8"/>
    <w:pPr>
      <w:spacing w:after="0"/>
      <w:ind w:left="1540"/>
    </w:pPr>
    <w:rPr>
      <w:sz w:val="18"/>
      <w:szCs w:val="18"/>
    </w:rPr>
  </w:style>
  <w:style w:type="paragraph" w:styleId="TOC9">
    <w:name w:val="toc 9"/>
    <w:basedOn w:val="Normal"/>
    <w:next w:val="Normal"/>
    <w:autoRedefine/>
    <w:uiPriority w:val="39"/>
    <w:unhideWhenUsed/>
    <w:rsid w:val="007642D8"/>
    <w:pPr>
      <w:spacing w:after="0"/>
      <w:ind w:left="1760"/>
    </w:pPr>
    <w:rPr>
      <w:sz w:val="18"/>
      <w:szCs w:val="18"/>
    </w:rPr>
  </w:style>
  <w:style w:type="paragraph" w:customStyle="1" w:styleId="Header1">
    <w:name w:val="Header1"/>
    <w:basedOn w:val="CM28"/>
    <w:link w:val="Header1Char"/>
    <w:qFormat/>
    <w:rsid w:val="00496E27"/>
    <w:pPr>
      <w:numPr>
        <w:numId w:val="16"/>
      </w:numPr>
      <w:tabs>
        <w:tab w:val="left" w:pos="360"/>
      </w:tabs>
      <w:ind w:left="360" w:hanging="360"/>
      <w:contextualSpacing/>
      <w:jc w:val="both"/>
    </w:pPr>
    <w:rPr>
      <w:b/>
      <w:i/>
      <w:caps/>
      <w:color w:val="000000"/>
      <w:u w:val="single"/>
    </w:rPr>
  </w:style>
  <w:style w:type="paragraph" w:customStyle="1" w:styleId="Header2">
    <w:name w:val="Header2"/>
    <w:basedOn w:val="CM28"/>
    <w:link w:val="Header2Char"/>
    <w:qFormat/>
    <w:rsid w:val="00496E27"/>
    <w:pPr>
      <w:ind w:left="720" w:hanging="360"/>
      <w:contextualSpacing/>
      <w:jc w:val="both"/>
    </w:pPr>
    <w:rPr>
      <w:b/>
      <w:color w:val="000000"/>
    </w:rPr>
  </w:style>
  <w:style w:type="character" w:customStyle="1" w:styleId="Header1Char">
    <w:name w:val="Header1 Char"/>
    <w:basedOn w:val="CM28Char"/>
    <w:link w:val="Header1"/>
    <w:rsid w:val="00496E27"/>
    <w:rPr>
      <w:b/>
      <w:i/>
      <w:caps/>
      <w:u w:val="single"/>
    </w:rPr>
  </w:style>
  <w:style w:type="character" w:customStyle="1" w:styleId="Heading2Char">
    <w:name w:val="Heading 2 Char"/>
    <w:basedOn w:val="DefaultParagraphFont"/>
    <w:link w:val="Heading2"/>
    <w:uiPriority w:val="9"/>
    <w:semiHidden/>
    <w:rsid w:val="00DF67D1"/>
    <w:rPr>
      <w:rFonts w:asciiTheme="majorHAnsi" w:eastAsiaTheme="majorEastAsia" w:hAnsiTheme="majorHAnsi" w:cstheme="majorBidi"/>
      <w:b/>
      <w:bCs/>
      <w:color w:val="4F81BD" w:themeColor="accent1"/>
      <w:sz w:val="26"/>
      <w:szCs w:val="26"/>
    </w:rPr>
  </w:style>
  <w:style w:type="character" w:customStyle="1" w:styleId="Header2Char">
    <w:name w:val="Header2 Char"/>
    <w:basedOn w:val="CM28Char"/>
    <w:link w:val="Header2"/>
    <w:rsid w:val="00496E27"/>
    <w:rPr>
      <w:b/>
    </w:rPr>
  </w:style>
  <w:style w:type="character" w:styleId="Hyperlink">
    <w:name w:val="Hyperlink"/>
    <w:basedOn w:val="DefaultParagraphFont"/>
    <w:uiPriority w:val="99"/>
    <w:unhideWhenUsed/>
    <w:rsid w:val="00DF6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54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DDF6-9734-4BBF-994C-389BB3E7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4996</Words>
  <Characters>28620</Characters>
  <Application>Microsoft Office Word</Application>
  <DocSecurity>0</DocSecurity>
  <Lines>753</Lines>
  <Paragraphs>302</Paragraphs>
  <ScaleCrop>false</ScaleCrop>
  <HeadingPairs>
    <vt:vector size="2" baseType="variant">
      <vt:variant>
        <vt:lpstr>Title</vt:lpstr>
      </vt:variant>
      <vt:variant>
        <vt:i4>1</vt:i4>
      </vt:variant>
    </vt:vector>
  </HeadingPairs>
  <TitlesOfParts>
    <vt:vector size="1" baseType="lpstr">
      <vt:lpstr>Microsoft Word - DRAFT - HATT CDRP V1.doc</vt:lpstr>
    </vt:vector>
  </TitlesOfParts>
  <Company>Texarkana Housing Authority</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HATT CDRP V1.doc</dc:title>
  <dc:creator>mbbilker</dc:creator>
  <cp:lastModifiedBy>Naomi Byrne</cp:lastModifiedBy>
  <cp:revision>2</cp:revision>
  <cp:lastPrinted>2010-06-22T18:11:00Z</cp:lastPrinted>
  <dcterms:created xsi:type="dcterms:W3CDTF">2012-07-19T18:55:00Z</dcterms:created>
  <dcterms:modified xsi:type="dcterms:W3CDTF">2012-07-19T18:55:00Z</dcterms:modified>
</cp:coreProperties>
</file>