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6502">
      <w:pPr>
        <w:widowControl w:val="0"/>
      </w:pPr>
    </w:p>
    <w:p w:rsidR="00000000" w:rsidRDefault="00246502">
      <w:pPr>
        <w:widowControl w:val="0"/>
      </w:pPr>
    </w:p>
    <w:p w:rsidR="00000000" w:rsidRDefault="00246502">
      <w:pPr>
        <w:widowControl w:val="0"/>
        <w:jc w:val="center"/>
        <w:rPr>
          <w:b/>
        </w:rPr>
      </w:pPr>
      <w:r>
        <w:rPr>
          <w:b/>
        </w:rPr>
        <w:t>INVESTMENT POLICY</w:t>
      </w:r>
    </w:p>
    <w:p w:rsidR="00000000" w:rsidRDefault="00246502">
      <w:pPr>
        <w:widowControl w:val="0"/>
        <w:rPr>
          <w:b/>
        </w:rPr>
      </w:pPr>
    </w:p>
    <w:p w:rsidR="00000000" w:rsidRDefault="00246502">
      <w:pPr>
        <w:widowControl w:val="0"/>
      </w:pPr>
    </w:p>
    <w:p w:rsidR="00000000" w:rsidRDefault="00246502">
      <w:pPr>
        <w:widowControl w:val="0"/>
        <w:tabs>
          <w:tab w:val="left" w:pos="697"/>
        </w:tabs>
        <w:ind w:left="697" w:hanging="697"/>
        <w:jc w:val="both"/>
      </w:pPr>
      <w:r>
        <w:rPr>
          <w:b/>
        </w:rPr>
        <w:t>1.0</w:t>
      </w:r>
      <w:r>
        <w:tab/>
      </w:r>
      <w:r>
        <w:rPr>
          <w:b/>
        </w:rPr>
        <w:t>POLICY:</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 xml:space="preserve">It is the policy of the Housing Authority of the City of </w:t>
      </w:r>
      <w:r>
        <w:rPr>
          <w:u w:val="single"/>
        </w:rPr>
        <w:tab/>
      </w:r>
      <w:r>
        <w:rPr>
          <w:u w:val="single"/>
        </w:rPr>
        <w:tab/>
      </w:r>
      <w:r>
        <w:rPr>
          <w:u w:val="single"/>
        </w:rPr>
        <w:tab/>
      </w:r>
      <w:r>
        <w:rPr>
          <w:u w:val="single"/>
        </w:rPr>
        <w:tab/>
      </w:r>
      <w:r>
        <w:t>to invest public funds in a manner that will provide the highest investment return with the maximum security while meeting the daily cash flow demands of the Ho</w:t>
      </w:r>
      <w:r>
        <w:t>using Authority while conforming to all federal, state and local statutes governing the Investment of public funds.</w:t>
      </w:r>
    </w:p>
    <w:p w:rsidR="00000000" w:rsidRDefault="00246502">
      <w:pPr>
        <w:widowControl w:val="0"/>
        <w:tabs>
          <w:tab w:val="left" w:pos="697"/>
        </w:tabs>
        <w:spacing w:line="272" w:lineRule="exact"/>
        <w:jc w:val="both"/>
      </w:pPr>
    </w:p>
    <w:p w:rsidR="00000000" w:rsidRDefault="00246502">
      <w:pPr>
        <w:widowControl w:val="0"/>
        <w:tabs>
          <w:tab w:val="left" w:pos="697"/>
        </w:tabs>
        <w:ind w:left="697" w:hanging="697"/>
        <w:jc w:val="both"/>
      </w:pPr>
      <w:r>
        <w:rPr>
          <w:b/>
        </w:rPr>
        <w:t>2.0</w:t>
      </w:r>
      <w:r>
        <w:tab/>
      </w:r>
      <w:r>
        <w:rPr>
          <w:b/>
        </w:rPr>
        <w:t>SCOPE:</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This investment policy applies to all financial assets of the Housing Authority. These funds are accounted for In the Housing Authority Annual Audit Report and  include:</w:t>
      </w:r>
    </w:p>
    <w:p w:rsidR="00000000" w:rsidRDefault="00246502">
      <w:pPr>
        <w:widowControl w:val="0"/>
        <w:tabs>
          <w:tab w:val="left" w:pos="697"/>
        </w:tabs>
        <w:spacing w:line="272" w:lineRule="exact"/>
        <w:jc w:val="both"/>
      </w:pPr>
    </w:p>
    <w:p w:rsidR="00000000" w:rsidRDefault="00246502">
      <w:pPr>
        <w:widowControl w:val="0"/>
        <w:tabs>
          <w:tab w:val="left" w:pos="1394"/>
          <w:tab w:val="left" w:pos="2080"/>
        </w:tabs>
        <w:ind w:left="2081" w:hanging="686"/>
        <w:jc w:val="both"/>
      </w:pPr>
      <w:r>
        <w:t>2.1</w:t>
      </w:r>
      <w:r>
        <w:tab/>
        <w:t>Operating Reserves of all programs</w:t>
      </w:r>
    </w:p>
    <w:p w:rsidR="00000000" w:rsidRDefault="00246502">
      <w:pPr>
        <w:widowControl w:val="0"/>
        <w:tabs>
          <w:tab w:val="left" w:pos="1394"/>
          <w:tab w:val="left" w:pos="2080"/>
        </w:tabs>
        <w:jc w:val="both"/>
      </w:pPr>
    </w:p>
    <w:p w:rsidR="00000000" w:rsidRDefault="00246502">
      <w:pPr>
        <w:widowControl w:val="0"/>
        <w:tabs>
          <w:tab w:val="left" w:pos="1394"/>
          <w:tab w:val="left" w:pos="2080"/>
        </w:tabs>
        <w:ind w:left="2081" w:hanging="686"/>
        <w:jc w:val="both"/>
      </w:pPr>
      <w:r>
        <w:t>2.2</w:t>
      </w:r>
      <w:r>
        <w:rPr>
          <w:b/>
        </w:rPr>
        <w:tab/>
      </w:r>
      <w:r>
        <w:t>Development Reserves</w:t>
      </w:r>
      <w:bookmarkStart w:id="0" w:name="_GoBack"/>
      <w:bookmarkEnd w:id="0"/>
    </w:p>
    <w:p w:rsidR="00000000" w:rsidRDefault="00246502">
      <w:pPr>
        <w:widowControl w:val="0"/>
        <w:tabs>
          <w:tab w:val="left" w:pos="1394"/>
          <w:tab w:val="left" w:pos="2080"/>
        </w:tabs>
        <w:jc w:val="both"/>
      </w:pPr>
    </w:p>
    <w:p w:rsidR="00000000" w:rsidRDefault="00246502">
      <w:pPr>
        <w:widowControl w:val="0"/>
        <w:tabs>
          <w:tab w:val="left" w:pos="1400"/>
          <w:tab w:val="left" w:pos="2074"/>
        </w:tabs>
        <w:spacing w:line="272" w:lineRule="exact"/>
        <w:ind w:left="2075" w:hanging="675"/>
        <w:jc w:val="both"/>
      </w:pPr>
      <w:r>
        <w:t>2.3</w:t>
      </w:r>
      <w:r>
        <w:tab/>
        <w:t>Any newly acquired special funds</w:t>
      </w:r>
    </w:p>
    <w:p w:rsidR="00000000" w:rsidRDefault="00246502">
      <w:pPr>
        <w:widowControl w:val="0"/>
        <w:tabs>
          <w:tab w:val="left" w:pos="1400"/>
          <w:tab w:val="left" w:pos="2074"/>
        </w:tabs>
        <w:spacing w:line="272" w:lineRule="exact"/>
        <w:jc w:val="both"/>
      </w:pPr>
    </w:p>
    <w:p w:rsidR="00000000" w:rsidRDefault="00246502">
      <w:pPr>
        <w:widowControl w:val="0"/>
        <w:tabs>
          <w:tab w:val="left" w:pos="1400"/>
          <w:tab w:val="left" w:pos="2074"/>
        </w:tabs>
        <w:spacing w:line="272" w:lineRule="exact"/>
        <w:jc w:val="both"/>
        <w:rPr>
          <w:b/>
        </w:rPr>
      </w:pPr>
    </w:p>
    <w:p w:rsidR="00000000" w:rsidRDefault="00246502">
      <w:pPr>
        <w:widowControl w:val="0"/>
        <w:tabs>
          <w:tab w:val="left" w:pos="697"/>
        </w:tabs>
        <w:ind w:left="697" w:hanging="697"/>
        <w:jc w:val="both"/>
        <w:rPr>
          <w:b/>
        </w:rPr>
      </w:pPr>
      <w:r>
        <w:rPr>
          <w:b/>
        </w:rPr>
        <w:t>3.0</w:t>
      </w:r>
      <w:r>
        <w:tab/>
      </w:r>
      <w:r>
        <w:rPr>
          <w:b/>
        </w:rPr>
        <w:t>OBJECTIVE:</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The primary objectives, in priority order, of the Housing Authority investment activities s</w:t>
      </w:r>
      <w:r>
        <w:t>hall be:</w:t>
      </w:r>
    </w:p>
    <w:p w:rsidR="00000000" w:rsidRDefault="00246502">
      <w:pPr>
        <w:widowControl w:val="0"/>
        <w:tabs>
          <w:tab w:val="left" w:pos="697"/>
        </w:tabs>
        <w:spacing w:line="272" w:lineRule="exact"/>
        <w:jc w:val="both"/>
      </w:pPr>
    </w:p>
    <w:p w:rsidR="00000000" w:rsidRDefault="00246502">
      <w:pPr>
        <w:widowControl w:val="0"/>
        <w:tabs>
          <w:tab w:val="left" w:pos="1400"/>
          <w:tab w:val="left" w:pos="2074"/>
        </w:tabs>
        <w:spacing w:line="272" w:lineRule="exact"/>
        <w:ind w:left="2075" w:hanging="675"/>
        <w:jc w:val="both"/>
      </w:pPr>
      <w:r>
        <w:t>3.1</w:t>
      </w:r>
      <w:r>
        <w:tab/>
        <w:t>Safety: Safety of principal is the foremost objective of the Housing Authority investment program. Investments of the Authority shall be undertaken in a manner that seeks to ensure the preservation of capital in the overall portfolio. To obtain this goal, diversification is required In order that potential losses on Individual investments do not exceed the income generated from the remainder of the portfolio.</w:t>
      </w:r>
    </w:p>
    <w:p w:rsidR="00000000" w:rsidRDefault="00246502">
      <w:pPr>
        <w:widowControl w:val="0"/>
        <w:tabs>
          <w:tab w:val="left" w:pos="1400"/>
          <w:tab w:val="left" w:pos="2074"/>
        </w:tabs>
        <w:spacing w:line="272" w:lineRule="exact"/>
        <w:ind w:left="2075" w:hanging="675"/>
        <w:jc w:val="both"/>
      </w:pPr>
    </w:p>
    <w:p w:rsidR="00000000" w:rsidRDefault="00246502">
      <w:pPr>
        <w:widowControl w:val="0"/>
        <w:tabs>
          <w:tab w:val="left" w:pos="1400"/>
          <w:tab w:val="left" w:pos="2074"/>
        </w:tabs>
        <w:spacing w:line="272" w:lineRule="exact"/>
        <w:ind w:left="2075" w:hanging="675"/>
        <w:jc w:val="both"/>
      </w:pPr>
      <w:r>
        <w:t>3.2</w:t>
      </w:r>
      <w:r>
        <w:tab/>
        <w:t xml:space="preserve">Liquidity: The </w:t>
      </w:r>
      <w:r>
        <w:rPr>
          <w:u w:val="single"/>
        </w:rPr>
        <w:tab/>
      </w:r>
      <w:r>
        <w:rPr>
          <w:u w:val="single"/>
        </w:rPr>
        <w:tab/>
      </w:r>
      <w:r>
        <w:rPr>
          <w:u w:val="single"/>
        </w:rPr>
        <w:tab/>
      </w:r>
      <w:r>
        <w:t xml:space="preserve"> Housing Authority investment portfolio will remain sufficient</w:t>
      </w:r>
      <w:r>
        <w:t>ly liquid to enable the Authority to meet all operating requirements which might be reasonably anticipated.</w:t>
      </w:r>
    </w:p>
    <w:p w:rsidR="00000000" w:rsidRDefault="00246502">
      <w:pPr>
        <w:widowControl w:val="0"/>
        <w:tabs>
          <w:tab w:val="left" w:pos="1400"/>
          <w:tab w:val="left" w:pos="2074"/>
        </w:tabs>
        <w:spacing w:line="272" w:lineRule="exact"/>
        <w:jc w:val="both"/>
      </w:pPr>
    </w:p>
    <w:p w:rsidR="00000000" w:rsidRDefault="00246502">
      <w:pPr>
        <w:widowControl w:val="0"/>
        <w:tabs>
          <w:tab w:val="left" w:pos="1400"/>
          <w:tab w:val="left" w:pos="2074"/>
        </w:tabs>
        <w:spacing w:line="272" w:lineRule="exact"/>
        <w:ind w:left="2075" w:hanging="675"/>
        <w:jc w:val="both"/>
      </w:pPr>
      <w:r>
        <w:t>3.3</w:t>
      </w:r>
      <w:r>
        <w:tab/>
        <w:t xml:space="preserve">Return on Investments: The </w:t>
      </w:r>
      <w:r>
        <w:rPr>
          <w:u w:val="single"/>
        </w:rPr>
        <w:tab/>
      </w:r>
      <w:r>
        <w:rPr>
          <w:u w:val="single"/>
        </w:rPr>
        <w:tab/>
      </w:r>
      <w:r>
        <w:t xml:space="preserve"> Housing Authority investment portfolio shall be designed with the objective of attaining a rate of return throughout budgetary and economic cycles, commensurate with the Authority's investment risk constraints and cash flow characteristics of the portfolio.</w:t>
      </w:r>
    </w:p>
    <w:p w:rsidR="00000000" w:rsidRDefault="00246502">
      <w:pPr>
        <w:widowControl w:val="0"/>
        <w:tabs>
          <w:tab w:val="left" w:pos="1400"/>
          <w:tab w:val="left" w:pos="2074"/>
        </w:tabs>
        <w:spacing w:line="272" w:lineRule="exact"/>
        <w:jc w:val="both"/>
      </w:pPr>
    </w:p>
    <w:p w:rsidR="00000000" w:rsidRDefault="00246502">
      <w:pPr>
        <w:widowControl w:val="0"/>
        <w:tabs>
          <w:tab w:val="left" w:pos="1394"/>
          <w:tab w:val="left" w:pos="2080"/>
        </w:tabs>
        <w:ind w:left="2081" w:hanging="686"/>
        <w:jc w:val="both"/>
      </w:pPr>
      <w:r>
        <w:lastRenderedPageBreak/>
        <w:t>3.4</w:t>
      </w:r>
      <w:r>
        <w:tab/>
        <w:t>Legal Limitations: Direct specific investment parameters for</w:t>
      </w:r>
      <w:r>
        <w:rPr>
          <w:i/>
        </w:rPr>
        <w:t xml:space="preserve"> </w:t>
      </w:r>
      <w:r>
        <w:t>the</w:t>
      </w:r>
    </w:p>
    <w:p w:rsidR="00000000" w:rsidRDefault="00246502">
      <w:pPr>
        <w:widowControl w:val="0"/>
        <w:tabs>
          <w:tab w:val="left" w:pos="2080"/>
        </w:tabs>
        <w:ind w:left="2081"/>
        <w:jc w:val="both"/>
      </w:pPr>
      <w:r>
        <w:t>investment of public funds in Texas are f</w:t>
      </w:r>
      <w:r>
        <w:t>ound In the Public Funds Investment Act, Chapter 2256, Texas Government Code end the U.S. Department of Housing and Urban Development Public and Indian Housing Notice 95-27 issued May 11, 1995.</w:t>
      </w:r>
    </w:p>
    <w:p w:rsidR="00000000" w:rsidRDefault="00246502">
      <w:pPr>
        <w:widowControl w:val="0"/>
        <w:tabs>
          <w:tab w:val="left" w:pos="2080"/>
        </w:tabs>
        <w:jc w:val="both"/>
      </w:pPr>
    </w:p>
    <w:p w:rsidR="00000000" w:rsidRDefault="00246502">
      <w:pPr>
        <w:widowControl w:val="0"/>
        <w:tabs>
          <w:tab w:val="left" w:pos="1394"/>
          <w:tab w:val="left" w:pos="2080"/>
        </w:tabs>
        <w:spacing w:line="272" w:lineRule="exact"/>
        <w:ind w:left="2081" w:hanging="686"/>
        <w:jc w:val="both"/>
      </w:pPr>
      <w:r>
        <w:t>3.5</w:t>
      </w:r>
      <w:r>
        <w:tab/>
        <w:t xml:space="preserve">Administrative Cost: In choosing an investment, the </w:t>
      </w:r>
      <w:r>
        <w:rPr>
          <w:u w:val="single"/>
        </w:rPr>
        <w:tab/>
      </w:r>
      <w:r>
        <w:rPr>
          <w:u w:val="single"/>
        </w:rPr>
        <w:tab/>
      </w:r>
      <w:r>
        <w:t xml:space="preserve"> Housing Authority shall consider the administrative work involved, particularly with regards to Investments of short duration. The more frequent turnover of investments may lead to higher administrative costs and therefore lower yield.</w:t>
      </w:r>
    </w:p>
    <w:p w:rsidR="00000000" w:rsidRDefault="00246502">
      <w:pPr>
        <w:widowControl w:val="0"/>
        <w:tabs>
          <w:tab w:val="left" w:pos="1394"/>
          <w:tab w:val="left" w:pos="2080"/>
        </w:tabs>
        <w:spacing w:line="272" w:lineRule="exact"/>
        <w:jc w:val="both"/>
      </w:pPr>
    </w:p>
    <w:p w:rsidR="00000000" w:rsidRDefault="00246502">
      <w:pPr>
        <w:widowControl w:val="0"/>
        <w:tabs>
          <w:tab w:val="left" w:pos="702"/>
        </w:tabs>
        <w:ind w:left="703" w:hanging="702"/>
        <w:jc w:val="both"/>
        <w:rPr>
          <w:b/>
        </w:rPr>
      </w:pPr>
      <w:r>
        <w:rPr>
          <w:b/>
        </w:rPr>
        <w:t>4.0</w:t>
      </w:r>
      <w:r>
        <w:rPr>
          <w:b/>
        </w:rPr>
        <w:tab/>
        <w:t>PRUDENCE:</w:t>
      </w:r>
    </w:p>
    <w:p w:rsidR="00000000" w:rsidRDefault="00246502">
      <w:pPr>
        <w:widowControl w:val="0"/>
        <w:tabs>
          <w:tab w:val="left" w:pos="702"/>
        </w:tabs>
        <w:ind w:left="703" w:hanging="702"/>
        <w:jc w:val="both"/>
        <w:rPr>
          <w:b/>
        </w:rPr>
      </w:pPr>
      <w:r>
        <w:rPr>
          <w:b/>
        </w:rPr>
        <w:t xml:space="preserve"> </w:t>
      </w:r>
    </w:p>
    <w:p w:rsidR="00000000" w:rsidRDefault="00246502">
      <w:pPr>
        <w:widowControl w:val="0"/>
        <w:tabs>
          <w:tab w:val="left" w:pos="697"/>
        </w:tabs>
        <w:spacing w:line="272" w:lineRule="exact"/>
        <w:ind w:left="697"/>
        <w:jc w:val="both"/>
      </w:pPr>
      <w:r>
        <w:t>The s</w:t>
      </w:r>
      <w:r>
        <w:t>tandard of prudence to be used in the investment function shall be the “prudent person” standard and shall be applied in the context of managing the overall portfolio. This standard states:</w:t>
      </w:r>
    </w:p>
    <w:p w:rsidR="00000000" w:rsidRDefault="00246502">
      <w:pPr>
        <w:widowControl w:val="0"/>
        <w:tabs>
          <w:tab w:val="left" w:pos="697"/>
        </w:tabs>
        <w:spacing w:line="272" w:lineRule="exact"/>
        <w:jc w:val="both"/>
      </w:pPr>
    </w:p>
    <w:p w:rsidR="00000000" w:rsidRDefault="00246502">
      <w:pPr>
        <w:widowControl w:val="0"/>
        <w:tabs>
          <w:tab w:val="left" w:pos="697"/>
        </w:tabs>
        <w:spacing w:line="272" w:lineRule="exact"/>
        <w:ind w:left="697"/>
        <w:jc w:val="both"/>
      </w:pPr>
      <w: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expected income to be de</w:t>
      </w:r>
      <w:r>
        <w:t>rived.”</w:t>
      </w:r>
    </w:p>
    <w:p w:rsidR="00000000" w:rsidRDefault="00246502">
      <w:pPr>
        <w:widowControl w:val="0"/>
        <w:tabs>
          <w:tab w:val="left" w:pos="697"/>
        </w:tabs>
        <w:spacing w:line="272" w:lineRule="exact"/>
        <w:jc w:val="both"/>
      </w:pPr>
    </w:p>
    <w:p w:rsidR="00000000" w:rsidRDefault="00246502">
      <w:pPr>
        <w:widowControl w:val="0"/>
        <w:tabs>
          <w:tab w:val="left" w:pos="697"/>
        </w:tabs>
        <w:spacing w:line="272" w:lineRule="exact"/>
        <w:ind w:left="697"/>
        <w:jc w:val="both"/>
      </w:pPr>
      <w:r>
        <w:t>The Investment officer and those delegated with investment authority under this policy, when acting in accordance with the written procedures and this policy in accord with the Prudent Person Rule, shall be relieved of personal responsibility and liability in the management of the portfolio, provided that deviations from expectations for a specific security’s credit risk or market price change or portfolio shifts are reported in a timely manner and that appropriate action is taken to control advers</w:t>
      </w:r>
      <w:r>
        <w:t>e market effects.</w:t>
      </w:r>
    </w:p>
    <w:p w:rsidR="00000000" w:rsidRDefault="00246502">
      <w:pPr>
        <w:widowControl w:val="0"/>
        <w:tabs>
          <w:tab w:val="left" w:pos="697"/>
        </w:tabs>
        <w:spacing w:line="272" w:lineRule="exact"/>
        <w:jc w:val="both"/>
      </w:pPr>
    </w:p>
    <w:p w:rsidR="00000000" w:rsidRDefault="00246502">
      <w:pPr>
        <w:widowControl w:val="0"/>
        <w:tabs>
          <w:tab w:val="left" w:pos="697"/>
        </w:tabs>
        <w:ind w:left="697" w:hanging="697"/>
        <w:jc w:val="both"/>
      </w:pPr>
      <w:r>
        <w:rPr>
          <w:b/>
        </w:rPr>
        <w:t>5.0</w:t>
      </w:r>
      <w:r>
        <w:rPr>
          <w:b/>
        </w:rPr>
        <w:tab/>
        <w:t>DELEGATION OF AUTHORITY:</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 xml:space="preserve">Authority to manage the </w:t>
      </w:r>
      <w:r>
        <w:rPr>
          <w:u w:val="single"/>
        </w:rPr>
        <w:tab/>
      </w:r>
      <w:r>
        <w:rPr>
          <w:u w:val="single"/>
        </w:rPr>
        <w:tab/>
      </w:r>
      <w:r>
        <w:rPr>
          <w:u w:val="single"/>
        </w:rPr>
        <w:tab/>
      </w:r>
      <w:r>
        <w:t xml:space="preserve"> Housing Authority investment program is derived from a Board of Commissioners Resolution. Management responsibility  for the investment program is delegated to the Administrative Services Director who shall establish written procedures for the operation of the investment program consistent with this investment policy.</w:t>
      </w:r>
    </w:p>
    <w:p w:rsidR="00000000" w:rsidRDefault="00246502">
      <w:pPr>
        <w:widowControl w:val="0"/>
        <w:tabs>
          <w:tab w:val="left" w:pos="697"/>
        </w:tabs>
        <w:spacing w:line="272" w:lineRule="exact"/>
        <w:jc w:val="both"/>
      </w:pPr>
    </w:p>
    <w:p w:rsidR="00000000" w:rsidRDefault="00246502">
      <w:pPr>
        <w:widowControl w:val="0"/>
        <w:tabs>
          <w:tab w:val="left" w:pos="697"/>
        </w:tabs>
        <w:spacing w:line="272" w:lineRule="exact"/>
        <w:ind w:left="697"/>
        <w:jc w:val="both"/>
      </w:pPr>
      <w:r>
        <w:t>Procedures should include reference to safekeeping. repurchase agreements, wire transfer agreements, banking servi</w:t>
      </w:r>
      <w:r>
        <w:t xml:space="preserve">ce contracts, collateral and depository agreements. Such procedures shall include explicit delegation of authority to persons responsible for investment transactions. No person may engage in an investment transaction except as provided under the terms of this policy and the procedures established by the Administrative Services Director. The Administrative Services Director shall be responsible for all transactions undertaken and shall establish a system of controls to regulate the activities of subordinate </w:t>
      </w:r>
      <w:r>
        <w:t>officials.</w:t>
      </w:r>
    </w:p>
    <w:p w:rsidR="00000000" w:rsidRDefault="00246502">
      <w:pPr>
        <w:widowControl w:val="0"/>
        <w:tabs>
          <w:tab w:val="left" w:pos="697"/>
        </w:tabs>
        <w:spacing w:line="272" w:lineRule="exact"/>
        <w:jc w:val="both"/>
      </w:pPr>
    </w:p>
    <w:p w:rsidR="00000000" w:rsidRDefault="00246502">
      <w:pPr>
        <w:widowControl w:val="0"/>
        <w:tabs>
          <w:tab w:val="left" w:pos="697"/>
        </w:tabs>
        <w:ind w:left="697" w:hanging="697"/>
        <w:jc w:val="both"/>
      </w:pPr>
      <w:r>
        <w:rPr>
          <w:b/>
        </w:rPr>
        <w:lastRenderedPageBreak/>
        <w:t>6.0</w:t>
      </w:r>
      <w:r>
        <w:tab/>
      </w:r>
      <w:r>
        <w:rPr>
          <w:b/>
        </w:rPr>
        <w:t>ETHICS AND CONFLICTS OF INTEREST:</w:t>
      </w:r>
    </w:p>
    <w:p w:rsidR="00000000" w:rsidRDefault="00246502">
      <w:pPr>
        <w:widowControl w:val="0"/>
        <w:tabs>
          <w:tab w:val="left" w:pos="697"/>
        </w:tabs>
        <w:jc w:val="both"/>
      </w:pPr>
    </w:p>
    <w:p w:rsidR="00000000" w:rsidRDefault="00246502">
      <w:pPr>
        <w:widowControl w:val="0"/>
        <w:tabs>
          <w:tab w:val="left" w:pos="702"/>
        </w:tabs>
        <w:spacing w:line="272" w:lineRule="exact"/>
        <w:ind w:left="703"/>
        <w:jc w:val="both"/>
      </w:pPr>
      <w:r>
        <w:t>Officers and employees involved In the Investment process shall refrain from personal business activity that could conflict with the proper execution of the investment program, or which could impair their ability to make impartial Investment decisions. Employees and investment officials shall disclose to the Executive Director any material financial Interests in financial institutions that conduct business with this Authority. Employees and investment offic</w:t>
      </w:r>
      <w:r>
        <w:t>ials shall further disclose any large personal financial investment positions that could be related to the performance of the Housing Authority, particularly with regard to the time of purchases and sale of investments. All Federal, State of Texas and Housing Authority Ethics Policies shall be strictly followed.</w:t>
      </w:r>
    </w:p>
    <w:p w:rsidR="00000000" w:rsidRDefault="00246502">
      <w:pPr>
        <w:widowControl w:val="0"/>
        <w:tabs>
          <w:tab w:val="left" w:pos="702"/>
        </w:tabs>
        <w:spacing w:line="272" w:lineRule="exact"/>
        <w:jc w:val="both"/>
      </w:pPr>
    </w:p>
    <w:p w:rsidR="00000000" w:rsidRDefault="00246502">
      <w:pPr>
        <w:widowControl w:val="0"/>
        <w:tabs>
          <w:tab w:val="left" w:pos="697"/>
        </w:tabs>
        <w:ind w:left="697" w:hanging="697"/>
        <w:jc w:val="both"/>
        <w:rPr>
          <w:b/>
        </w:rPr>
      </w:pPr>
      <w:r>
        <w:rPr>
          <w:b/>
        </w:rPr>
        <w:t>7.0</w:t>
      </w:r>
      <w:r>
        <w:rPr>
          <w:b/>
        </w:rPr>
        <w:tab/>
        <w:t>AUTHORIZED FINANCIAL DEALERS AND INSTITUTIONS:</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The Administrative Services Director shall maintain a list of all financial institutions authorized to provide investment services for the Housin</w:t>
      </w:r>
      <w:r>
        <w:t>g Authority.</w:t>
      </w:r>
    </w:p>
    <w:p w:rsidR="00000000" w:rsidRDefault="00246502">
      <w:pPr>
        <w:widowControl w:val="0"/>
        <w:tabs>
          <w:tab w:val="left" w:pos="697"/>
        </w:tabs>
        <w:spacing w:line="272" w:lineRule="exact"/>
        <w:jc w:val="both"/>
      </w:pPr>
    </w:p>
    <w:p w:rsidR="00000000" w:rsidRDefault="00246502">
      <w:pPr>
        <w:widowControl w:val="0"/>
        <w:tabs>
          <w:tab w:val="left" w:pos="1394"/>
          <w:tab w:val="left" w:pos="2080"/>
        </w:tabs>
        <w:spacing w:line="272" w:lineRule="exact"/>
        <w:ind w:left="2081" w:hanging="686"/>
        <w:jc w:val="both"/>
      </w:pPr>
      <w:r>
        <w:t>7.1</w:t>
      </w:r>
      <w:r>
        <w:tab/>
        <w:t xml:space="preserve">All financial Institutions and broker/dealers who desire to become qualified bidders for investment transactions must supply the Administrative Services Director with annual financial statements and certification in writing that the financial institution or the broker/dealer has read and will follow all Federal and State of Texas laws end regulations regarding investments made by the </w:t>
      </w:r>
      <w:r>
        <w:rPr>
          <w:u w:val="single"/>
        </w:rPr>
        <w:tab/>
      </w:r>
      <w:r>
        <w:rPr>
          <w:u w:val="single"/>
        </w:rPr>
        <w:tab/>
      </w:r>
      <w:r>
        <w:rPr>
          <w:u w:val="single"/>
        </w:rPr>
        <w:tab/>
      </w:r>
      <w:r>
        <w:t xml:space="preserve"> Housing Authority.</w:t>
      </w:r>
    </w:p>
    <w:p w:rsidR="00000000" w:rsidRDefault="00246502">
      <w:pPr>
        <w:widowControl w:val="0"/>
        <w:tabs>
          <w:tab w:val="left" w:pos="1394"/>
          <w:tab w:val="left" w:pos="2080"/>
        </w:tabs>
        <w:spacing w:line="272" w:lineRule="exact"/>
        <w:jc w:val="both"/>
      </w:pPr>
    </w:p>
    <w:p w:rsidR="00000000" w:rsidRDefault="00246502">
      <w:pPr>
        <w:widowControl w:val="0"/>
        <w:tabs>
          <w:tab w:val="left" w:pos="1394"/>
          <w:tab w:val="left" w:pos="2080"/>
        </w:tabs>
        <w:spacing w:line="272" w:lineRule="exact"/>
        <w:ind w:left="2081" w:hanging="686"/>
        <w:jc w:val="both"/>
      </w:pPr>
      <w:r>
        <w:t>7.2</w:t>
      </w:r>
      <w:r>
        <w:tab/>
        <w:t>An annual review of the financial statements will be completed by the  Administ</w:t>
      </w:r>
      <w:r>
        <w:t>rative Services Director.</w:t>
      </w:r>
    </w:p>
    <w:p w:rsidR="00000000" w:rsidRDefault="00246502">
      <w:pPr>
        <w:widowControl w:val="0"/>
        <w:tabs>
          <w:tab w:val="left" w:pos="1394"/>
          <w:tab w:val="left" w:pos="2080"/>
        </w:tabs>
        <w:spacing w:line="272" w:lineRule="exact"/>
        <w:jc w:val="both"/>
      </w:pPr>
    </w:p>
    <w:p w:rsidR="00000000" w:rsidRDefault="00246502">
      <w:pPr>
        <w:widowControl w:val="0"/>
        <w:tabs>
          <w:tab w:val="left" w:pos="1394"/>
          <w:tab w:val="left" w:pos="2080"/>
        </w:tabs>
        <w:ind w:left="2081" w:hanging="686"/>
        <w:jc w:val="both"/>
      </w:pPr>
      <w:r>
        <w:t>7.3</w:t>
      </w:r>
      <w:r>
        <w:tab/>
        <w:t>A current audited financial statement is required to be on file for each financial Institution and broker/dealer in which the Housing Authority invests.</w:t>
      </w:r>
    </w:p>
    <w:p w:rsidR="00000000" w:rsidRDefault="00246502">
      <w:pPr>
        <w:widowControl w:val="0"/>
        <w:tabs>
          <w:tab w:val="left" w:pos="2080"/>
        </w:tabs>
        <w:spacing w:line="272" w:lineRule="exact"/>
        <w:jc w:val="both"/>
      </w:pPr>
    </w:p>
    <w:p w:rsidR="00000000" w:rsidRDefault="00246502">
      <w:pPr>
        <w:widowControl w:val="0"/>
        <w:tabs>
          <w:tab w:val="left" w:pos="697"/>
        </w:tabs>
        <w:ind w:left="697" w:hanging="697"/>
        <w:jc w:val="both"/>
        <w:rPr>
          <w:b/>
        </w:rPr>
      </w:pPr>
      <w:r>
        <w:rPr>
          <w:b/>
        </w:rPr>
        <w:t>8.0</w:t>
      </w:r>
      <w:r>
        <w:rPr>
          <w:b/>
        </w:rPr>
        <w:tab/>
        <w:t>AUTHORIZED AND SUITABLE INVESTMENTS:</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 xml:space="preserve">The </w:t>
      </w:r>
      <w:r>
        <w:rPr>
          <w:u w:val="single"/>
        </w:rPr>
        <w:tab/>
      </w:r>
      <w:r>
        <w:rPr>
          <w:u w:val="single"/>
        </w:rPr>
        <w:tab/>
      </w:r>
      <w:r>
        <w:rPr>
          <w:u w:val="single"/>
        </w:rPr>
        <w:tab/>
      </w:r>
      <w:r>
        <w:t xml:space="preserve"> Housing Authority is empowered by the U.S. Department of Housing and Urban Development to Invest only in instruments approved and fully collateralized by other approved investments. ATTACHMENT A contains a listing and description of approved investment Instruments available to</w:t>
      </w:r>
      <w:r>
        <w:t xml:space="preserve"> the </w:t>
      </w:r>
      <w:r>
        <w:rPr>
          <w:u w:val="single"/>
        </w:rPr>
        <w:tab/>
      </w:r>
      <w:r>
        <w:rPr>
          <w:u w:val="single"/>
        </w:rPr>
        <w:tab/>
      </w:r>
      <w:r>
        <w:rPr>
          <w:u w:val="single"/>
        </w:rPr>
        <w:tab/>
      </w:r>
      <w:r>
        <w:t xml:space="preserve"> Housing Authority.</w:t>
      </w:r>
    </w:p>
    <w:p w:rsidR="00000000" w:rsidRDefault="00246502">
      <w:pPr>
        <w:widowControl w:val="0"/>
        <w:tabs>
          <w:tab w:val="left" w:pos="697"/>
        </w:tabs>
        <w:spacing w:line="272" w:lineRule="exact"/>
        <w:ind w:left="697"/>
        <w:jc w:val="both"/>
      </w:pPr>
    </w:p>
    <w:p w:rsidR="00000000" w:rsidRDefault="00246502">
      <w:pPr>
        <w:widowControl w:val="0"/>
        <w:tabs>
          <w:tab w:val="left" w:pos="697"/>
        </w:tabs>
        <w:spacing w:line="272" w:lineRule="exact"/>
        <w:ind w:left="697"/>
        <w:jc w:val="both"/>
      </w:pPr>
    </w:p>
    <w:p w:rsidR="00000000" w:rsidRDefault="00246502">
      <w:pPr>
        <w:widowControl w:val="0"/>
        <w:tabs>
          <w:tab w:val="left" w:pos="697"/>
        </w:tabs>
        <w:spacing w:line="272" w:lineRule="exact"/>
        <w:ind w:left="697"/>
        <w:jc w:val="both"/>
      </w:pPr>
    </w:p>
    <w:p w:rsidR="00000000" w:rsidRDefault="00246502">
      <w:pPr>
        <w:widowControl w:val="0"/>
        <w:tabs>
          <w:tab w:val="left" w:pos="697"/>
        </w:tabs>
        <w:spacing w:line="272" w:lineRule="exact"/>
        <w:jc w:val="both"/>
      </w:pPr>
    </w:p>
    <w:p w:rsidR="00000000" w:rsidRDefault="00246502">
      <w:pPr>
        <w:widowControl w:val="0"/>
        <w:tabs>
          <w:tab w:val="left" w:pos="702"/>
        </w:tabs>
        <w:ind w:left="703" w:hanging="702"/>
        <w:jc w:val="both"/>
        <w:rPr>
          <w:b/>
        </w:rPr>
      </w:pPr>
      <w:r>
        <w:rPr>
          <w:b/>
        </w:rPr>
        <w:t>9.0</w:t>
      </w:r>
      <w:r>
        <w:rPr>
          <w:b/>
        </w:rPr>
        <w:tab/>
        <w:t>COLLATERALIZATION:</w:t>
      </w:r>
    </w:p>
    <w:p w:rsidR="00000000" w:rsidRDefault="00246502">
      <w:pPr>
        <w:widowControl w:val="0"/>
        <w:tabs>
          <w:tab w:val="left" w:pos="702"/>
        </w:tabs>
        <w:jc w:val="both"/>
      </w:pPr>
    </w:p>
    <w:p w:rsidR="00000000" w:rsidRDefault="00246502">
      <w:pPr>
        <w:widowControl w:val="0"/>
        <w:tabs>
          <w:tab w:val="left" w:pos="697"/>
        </w:tabs>
        <w:spacing w:line="272" w:lineRule="exact"/>
        <w:ind w:left="697"/>
        <w:jc w:val="both"/>
      </w:pPr>
      <w:r>
        <w:t>Collateralization is required for all Housing Authority investments.  In order to protect the Housing Authority assets, collateralization of one hundred percent (100%) is required at all times. All collateral shall conform to those investment instruments listed in ATTACHMENT A.</w:t>
      </w:r>
    </w:p>
    <w:p w:rsidR="00000000" w:rsidRDefault="00246502">
      <w:pPr>
        <w:widowControl w:val="0"/>
        <w:tabs>
          <w:tab w:val="left" w:pos="697"/>
        </w:tabs>
        <w:spacing w:line="272" w:lineRule="exact"/>
        <w:jc w:val="both"/>
      </w:pPr>
    </w:p>
    <w:p w:rsidR="00000000" w:rsidRDefault="00246502">
      <w:pPr>
        <w:widowControl w:val="0"/>
        <w:tabs>
          <w:tab w:val="left" w:pos="702"/>
        </w:tabs>
        <w:spacing w:line="272" w:lineRule="exact"/>
        <w:ind w:left="703"/>
        <w:jc w:val="both"/>
      </w:pPr>
      <w:r>
        <w:t xml:space="preserve">Collateral  will always be held by an independent third party with whom the financial institution or broker/dealer has a current custodial agreement. A clearly marked evidence </w:t>
      </w:r>
      <w:r>
        <w:t>of ownership or safekeeping receipt must be available to the Housing Authority.</w:t>
      </w:r>
    </w:p>
    <w:p w:rsidR="00000000" w:rsidRDefault="00246502">
      <w:pPr>
        <w:widowControl w:val="0"/>
        <w:tabs>
          <w:tab w:val="left" w:pos="702"/>
        </w:tabs>
        <w:spacing w:line="272" w:lineRule="exact"/>
        <w:jc w:val="both"/>
      </w:pPr>
    </w:p>
    <w:p w:rsidR="00000000" w:rsidRDefault="00246502">
      <w:pPr>
        <w:widowControl w:val="0"/>
        <w:tabs>
          <w:tab w:val="left" w:pos="702"/>
        </w:tabs>
        <w:spacing w:line="272" w:lineRule="exact"/>
        <w:ind w:left="703"/>
        <w:jc w:val="both"/>
      </w:pPr>
      <w:r>
        <w:t>The right of collateral substitution is granted only when the substituted collateral is</w:t>
      </w:r>
      <w:r>
        <w:rPr>
          <w:i/>
        </w:rPr>
        <w:t xml:space="preserve"> </w:t>
      </w:r>
      <w:r>
        <w:t>on the approved list of Investments listed in ATTACHMENT A.</w:t>
      </w:r>
    </w:p>
    <w:p w:rsidR="00000000" w:rsidRDefault="00246502">
      <w:pPr>
        <w:widowControl w:val="0"/>
        <w:tabs>
          <w:tab w:val="left" w:pos="702"/>
        </w:tabs>
        <w:spacing w:line="272" w:lineRule="exact"/>
        <w:jc w:val="both"/>
      </w:pPr>
    </w:p>
    <w:p w:rsidR="00000000" w:rsidRDefault="00246502">
      <w:pPr>
        <w:widowControl w:val="0"/>
        <w:tabs>
          <w:tab w:val="left" w:pos="697"/>
        </w:tabs>
        <w:ind w:left="697" w:hanging="697"/>
        <w:jc w:val="both"/>
        <w:rPr>
          <w:b/>
        </w:rPr>
      </w:pPr>
      <w:r>
        <w:rPr>
          <w:b/>
        </w:rPr>
        <w:t>10.0</w:t>
      </w:r>
      <w:r>
        <w:rPr>
          <w:b/>
        </w:rPr>
        <w:tab/>
        <w:t>DIVERSIFICATION:</w:t>
      </w:r>
    </w:p>
    <w:p w:rsidR="00000000" w:rsidRDefault="00246502">
      <w:pPr>
        <w:widowControl w:val="0"/>
        <w:tabs>
          <w:tab w:val="left" w:pos="697"/>
        </w:tabs>
        <w:jc w:val="both"/>
        <w:rPr>
          <w:b/>
        </w:rPr>
      </w:pPr>
    </w:p>
    <w:p w:rsidR="00000000" w:rsidRDefault="00246502">
      <w:pPr>
        <w:widowControl w:val="0"/>
        <w:tabs>
          <w:tab w:val="left" w:pos="697"/>
        </w:tabs>
        <w:spacing w:line="272" w:lineRule="exact"/>
        <w:ind w:left="697"/>
        <w:jc w:val="both"/>
      </w:pPr>
      <w:r>
        <w:t xml:space="preserve">The </w:t>
      </w:r>
      <w:r>
        <w:rPr>
          <w:u w:val="single"/>
        </w:rPr>
        <w:tab/>
      </w:r>
      <w:r>
        <w:rPr>
          <w:u w:val="single"/>
        </w:rPr>
        <w:tab/>
      </w:r>
      <w:r>
        <w:t xml:space="preserve"> Housing Authority will diversify its investments by security type and institution. With the exception of U.S. Treasury securities and authorized investment pools, no more than 50% of the </w:t>
      </w:r>
      <w:r>
        <w:rPr>
          <w:u w:val="single"/>
        </w:rPr>
        <w:tab/>
      </w:r>
      <w:r>
        <w:rPr>
          <w:u w:val="single"/>
        </w:rPr>
        <w:tab/>
      </w:r>
      <w:r>
        <w:t xml:space="preserve"> Housing Authority total Investment portfolio will be invested </w:t>
      </w:r>
      <w:r>
        <w:t>In a single security type or with a single financial institution or broker/dealer.</w:t>
      </w:r>
    </w:p>
    <w:p w:rsidR="00000000" w:rsidRDefault="00246502">
      <w:pPr>
        <w:widowControl w:val="0"/>
        <w:tabs>
          <w:tab w:val="left" w:pos="697"/>
        </w:tabs>
        <w:spacing w:line="272" w:lineRule="exact"/>
        <w:jc w:val="both"/>
        <w:rPr>
          <w:b/>
        </w:rPr>
      </w:pPr>
    </w:p>
    <w:p w:rsidR="00000000" w:rsidRDefault="00246502">
      <w:pPr>
        <w:widowControl w:val="0"/>
        <w:tabs>
          <w:tab w:val="left" w:pos="708"/>
        </w:tabs>
        <w:ind w:left="709" w:hanging="708"/>
        <w:jc w:val="both"/>
      </w:pPr>
      <w:r>
        <w:rPr>
          <w:b/>
        </w:rPr>
        <w:t>11.0</w:t>
      </w:r>
      <w:r>
        <w:rPr>
          <w:b/>
        </w:rPr>
        <w:tab/>
        <w:t>MAXIMUM MATURITIES:</w:t>
      </w:r>
    </w:p>
    <w:p w:rsidR="00000000" w:rsidRDefault="00246502">
      <w:pPr>
        <w:widowControl w:val="0"/>
        <w:tabs>
          <w:tab w:val="left" w:pos="708"/>
        </w:tabs>
        <w:jc w:val="both"/>
      </w:pPr>
    </w:p>
    <w:p w:rsidR="00000000" w:rsidRDefault="00246502">
      <w:pPr>
        <w:widowControl w:val="0"/>
        <w:tabs>
          <w:tab w:val="left" w:pos="702"/>
        </w:tabs>
        <w:spacing w:line="272" w:lineRule="exact"/>
        <w:ind w:left="703"/>
        <w:jc w:val="both"/>
      </w:pPr>
      <w:r>
        <w:t xml:space="preserve">To the extent possible the </w:t>
      </w:r>
      <w:r>
        <w:rPr>
          <w:u w:val="single"/>
        </w:rPr>
        <w:tab/>
      </w:r>
      <w:r>
        <w:rPr>
          <w:u w:val="single"/>
        </w:rPr>
        <w:tab/>
      </w:r>
      <w:r>
        <w:rPr>
          <w:u w:val="single"/>
        </w:rPr>
        <w:tab/>
      </w:r>
      <w:r>
        <w:t xml:space="preserve"> Housing Authority will attempt to match its investments with anticipated cash flow requirements. Unless matched to a specific cash flow, the Authority will not directly invest in securities maturing more than three years (3) from the date of purchase. This maximum maturity policy applies to all Housing Authority funds.</w:t>
      </w:r>
    </w:p>
    <w:p w:rsidR="00000000" w:rsidRDefault="00246502">
      <w:pPr>
        <w:widowControl w:val="0"/>
        <w:tabs>
          <w:tab w:val="left" w:pos="702"/>
        </w:tabs>
        <w:spacing w:line="272" w:lineRule="exact"/>
        <w:jc w:val="both"/>
      </w:pPr>
    </w:p>
    <w:p w:rsidR="00000000" w:rsidRDefault="00246502">
      <w:pPr>
        <w:widowControl w:val="0"/>
        <w:tabs>
          <w:tab w:val="left" w:pos="702"/>
        </w:tabs>
        <w:ind w:left="703" w:hanging="702"/>
        <w:jc w:val="both"/>
        <w:rPr>
          <w:b/>
        </w:rPr>
      </w:pPr>
      <w:r>
        <w:rPr>
          <w:b/>
        </w:rPr>
        <w:t>12.0</w:t>
      </w:r>
      <w:r>
        <w:rPr>
          <w:b/>
        </w:rPr>
        <w:tab/>
        <w:t>INTERNAL CONTROL:</w:t>
      </w:r>
    </w:p>
    <w:p w:rsidR="00000000" w:rsidRDefault="00246502">
      <w:pPr>
        <w:widowControl w:val="0"/>
        <w:tabs>
          <w:tab w:val="left" w:pos="702"/>
        </w:tabs>
        <w:ind w:left="703" w:hanging="702"/>
        <w:jc w:val="both"/>
        <w:rPr>
          <w:b/>
        </w:rPr>
      </w:pPr>
    </w:p>
    <w:p w:rsidR="00000000" w:rsidRDefault="00246502">
      <w:pPr>
        <w:widowControl w:val="0"/>
        <w:tabs>
          <w:tab w:val="left" w:pos="697"/>
        </w:tabs>
        <w:spacing w:line="272" w:lineRule="exact"/>
        <w:ind w:left="697"/>
        <w:jc w:val="both"/>
      </w:pPr>
      <w:r>
        <w:t>The Administrative Servic</w:t>
      </w:r>
      <w:r>
        <w:t>es Director shall establish an annual process of</w:t>
      </w:r>
      <w:r>
        <w:rPr>
          <w:b/>
        </w:rPr>
        <w:t xml:space="preserve"> </w:t>
      </w:r>
      <w:r>
        <w:t>independent review as part of the annual audit. This review will provide internal control by assuring compliance with policies and procedures.</w:t>
      </w:r>
    </w:p>
    <w:p w:rsidR="00000000" w:rsidRDefault="00246502">
      <w:pPr>
        <w:widowControl w:val="0"/>
        <w:tabs>
          <w:tab w:val="left" w:pos="697"/>
        </w:tabs>
        <w:spacing w:line="272" w:lineRule="exact"/>
        <w:jc w:val="both"/>
      </w:pPr>
    </w:p>
    <w:p w:rsidR="00000000" w:rsidRDefault="00246502">
      <w:pPr>
        <w:widowControl w:val="0"/>
        <w:tabs>
          <w:tab w:val="left" w:pos="708"/>
        </w:tabs>
        <w:ind w:left="709" w:hanging="708"/>
        <w:jc w:val="both"/>
        <w:rPr>
          <w:b/>
        </w:rPr>
      </w:pPr>
      <w:r>
        <w:rPr>
          <w:b/>
        </w:rPr>
        <w:t>13.0</w:t>
      </w:r>
      <w:r>
        <w:rPr>
          <w:b/>
        </w:rPr>
        <w:tab/>
        <w:t>PERFORMANCE STANDARDS AND REPORTING:</w:t>
      </w:r>
    </w:p>
    <w:p w:rsidR="00000000" w:rsidRDefault="00246502">
      <w:pPr>
        <w:widowControl w:val="0"/>
        <w:tabs>
          <w:tab w:val="left" w:pos="708"/>
        </w:tabs>
        <w:jc w:val="both"/>
      </w:pPr>
    </w:p>
    <w:p w:rsidR="00000000" w:rsidRDefault="00246502">
      <w:pPr>
        <w:widowControl w:val="0"/>
        <w:tabs>
          <w:tab w:val="left" w:pos="697"/>
        </w:tabs>
        <w:spacing w:line="272" w:lineRule="exact"/>
        <w:ind w:left="697"/>
        <w:jc w:val="both"/>
      </w:pPr>
      <w:r>
        <w:t>The Administrative Services Director or designee will prepare a monthly investments report for the Housing Authority Board of Commissioners. The report shall contain the name of the</w:t>
      </w:r>
      <w:r>
        <w:rPr>
          <w:b/>
        </w:rPr>
        <w:t xml:space="preserve"> </w:t>
      </w:r>
      <w:r>
        <w:t>financial institution or broker/dealer holding the Investment, the cost of the investment, the</w:t>
      </w:r>
      <w:r>
        <w:t xml:space="preserve"> fair market value of the investment, the purchase and maturity dates of the investment. The performance will be measured by standards set by the U.S. Department of Housing and Urban Development.</w:t>
      </w:r>
    </w:p>
    <w:p w:rsidR="00000000" w:rsidRDefault="00246502">
      <w:pPr>
        <w:widowControl w:val="0"/>
        <w:tabs>
          <w:tab w:val="left" w:pos="697"/>
        </w:tabs>
        <w:spacing w:line="272" w:lineRule="exact"/>
        <w:ind w:left="697"/>
        <w:jc w:val="both"/>
      </w:pPr>
    </w:p>
    <w:p w:rsidR="00000000" w:rsidRDefault="00246502">
      <w:pPr>
        <w:widowControl w:val="0"/>
        <w:tabs>
          <w:tab w:val="left" w:pos="697"/>
        </w:tabs>
        <w:spacing w:line="272" w:lineRule="exact"/>
        <w:ind w:left="697"/>
        <w:jc w:val="both"/>
      </w:pPr>
    </w:p>
    <w:p w:rsidR="00000000" w:rsidRDefault="00246502">
      <w:pPr>
        <w:widowControl w:val="0"/>
        <w:tabs>
          <w:tab w:val="left" w:pos="697"/>
        </w:tabs>
        <w:spacing w:line="272" w:lineRule="exact"/>
        <w:jc w:val="both"/>
      </w:pPr>
    </w:p>
    <w:p w:rsidR="00000000" w:rsidRDefault="00246502">
      <w:pPr>
        <w:widowControl w:val="0"/>
        <w:tabs>
          <w:tab w:val="left" w:pos="702"/>
        </w:tabs>
        <w:ind w:left="703" w:hanging="702"/>
        <w:jc w:val="both"/>
        <w:rPr>
          <w:b/>
        </w:rPr>
      </w:pPr>
      <w:r>
        <w:rPr>
          <w:b/>
        </w:rPr>
        <w:t>14.0</w:t>
      </w:r>
      <w:r>
        <w:rPr>
          <w:b/>
        </w:rPr>
        <w:tab/>
        <w:t>INVESTMENT POLICY ADOPTION:</w:t>
      </w:r>
    </w:p>
    <w:p w:rsidR="00000000" w:rsidRDefault="00246502">
      <w:pPr>
        <w:widowControl w:val="0"/>
        <w:tabs>
          <w:tab w:val="left" w:pos="702"/>
        </w:tabs>
        <w:jc w:val="both"/>
      </w:pPr>
    </w:p>
    <w:p w:rsidR="00000000" w:rsidRDefault="00246502">
      <w:pPr>
        <w:widowControl w:val="0"/>
        <w:tabs>
          <w:tab w:val="left" w:pos="697"/>
        </w:tabs>
        <w:spacing w:line="272" w:lineRule="exact"/>
        <w:ind w:left="697"/>
        <w:jc w:val="both"/>
      </w:pPr>
      <w:r>
        <w:t xml:space="preserve">The </w:t>
      </w:r>
      <w:r>
        <w:rPr>
          <w:u w:val="single"/>
        </w:rPr>
        <w:tab/>
      </w:r>
      <w:r>
        <w:rPr>
          <w:u w:val="single"/>
        </w:rPr>
        <w:tab/>
      </w:r>
      <w:r>
        <w:rPr>
          <w:u w:val="single"/>
        </w:rPr>
        <w:tab/>
      </w:r>
      <w:r>
        <w:t xml:space="preserve"> Housing Authority investment policy shall be adopted by resolution of the Board of Commissioners. The policy shall be reviewed on a continual basis and will be revised by the Administrative Services Director as necessary. It is the intent of the Housing Authority that if</w:t>
      </w:r>
      <w:r>
        <w:t xml:space="preserve"> any changes of federal or State of Texas laws affect this policy, the new law or change becomes effective as stated and this policy is automatically conformed to existing law.</w:t>
      </w:r>
    </w:p>
    <w:p w:rsidR="00000000" w:rsidRDefault="00246502">
      <w:pPr>
        <w:widowControl w:val="0"/>
        <w:tabs>
          <w:tab w:val="left" w:pos="697"/>
        </w:tabs>
        <w:spacing w:line="272" w:lineRule="exact"/>
        <w:jc w:val="both"/>
      </w:pPr>
    </w:p>
    <w:p w:rsidR="00000000" w:rsidRDefault="00246502">
      <w:pPr>
        <w:widowControl w:val="0"/>
        <w:tabs>
          <w:tab w:val="left" w:pos="697"/>
        </w:tabs>
        <w:ind w:left="697" w:hanging="697"/>
        <w:jc w:val="both"/>
        <w:rPr>
          <w:b/>
        </w:rPr>
      </w:pPr>
      <w:r>
        <w:rPr>
          <w:b/>
        </w:rPr>
        <w:t>15.0</w:t>
      </w:r>
      <w:r>
        <w:rPr>
          <w:b/>
        </w:rPr>
        <w:tab/>
        <w:t>EXEMPTION:</w:t>
      </w:r>
    </w:p>
    <w:p w:rsidR="00000000" w:rsidRDefault="00246502">
      <w:pPr>
        <w:widowControl w:val="0"/>
        <w:tabs>
          <w:tab w:val="left" w:pos="697"/>
        </w:tabs>
        <w:jc w:val="both"/>
      </w:pPr>
    </w:p>
    <w:p w:rsidR="00000000" w:rsidRDefault="00246502">
      <w:pPr>
        <w:widowControl w:val="0"/>
        <w:tabs>
          <w:tab w:val="left" w:pos="697"/>
        </w:tabs>
        <w:spacing w:line="272" w:lineRule="exact"/>
        <w:ind w:left="697"/>
        <w:jc w:val="both"/>
      </w:pPr>
      <w:r>
        <w:t>Any Investment currently held that does not meet the guidelines of this policy shall be exempted from the requirements contained herein. At maturity or liquidation, such funds shall be reinvested only as provided by this policy.</w:t>
      </w:r>
    </w:p>
    <w:p w:rsidR="00000000" w:rsidRDefault="00246502">
      <w:pPr>
        <w:widowControl w:val="0"/>
        <w:tabs>
          <w:tab w:val="left" w:pos="697"/>
        </w:tabs>
        <w:spacing w:line="272" w:lineRule="exact"/>
        <w:ind w:left="697"/>
        <w:jc w:val="both"/>
      </w:pPr>
      <w:r>
        <w:br w:type="page"/>
      </w:r>
    </w:p>
    <w:p w:rsidR="00000000" w:rsidRDefault="00246502">
      <w:pPr>
        <w:widowControl w:val="0"/>
        <w:tabs>
          <w:tab w:val="left" w:pos="697"/>
        </w:tabs>
        <w:jc w:val="both"/>
      </w:pPr>
    </w:p>
    <w:p w:rsidR="00000000" w:rsidRDefault="00246502">
      <w:pPr>
        <w:widowControl w:val="0"/>
        <w:tabs>
          <w:tab w:val="left" w:pos="697"/>
        </w:tabs>
        <w:jc w:val="center"/>
        <w:rPr>
          <w:b/>
        </w:rPr>
      </w:pPr>
      <w:r>
        <w:rPr>
          <w:b/>
        </w:rPr>
        <w:t>HUD APPROVED INVESTMENT INSTRUMENTS</w:t>
      </w:r>
    </w:p>
    <w:p w:rsidR="00000000" w:rsidRDefault="00246502">
      <w:pPr>
        <w:widowControl w:val="0"/>
        <w:tabs>
          <w:tab w:val="left" w:pos="697"/>
        </w:tabs>
        <w:jc w:val="both"/>
      </w:pPr>
    </w:p>
    <w:p w:rsidR="00000000" w:rsidRDefault="00246502">
      <w:pPr>
        <w:widowControl w:val="0"/>
        <w:tabs>
          <w:tab w:val="left" w:pos="697"/>
        </w:tabs>
        <w:jc w:val="both"/>
      </w:pPr>
    </w:p>
    <w:p w:rsidR="00000000" w:rsidRDefault="00246502">
      <w:pPr>
        <w:widowControl w:val="0"/>
        <w:tabs>
          <w:tab w:val="left" w:pos="697"/>
        </w:tabs>
        <w:jc w:val="both"/>
      </w:pPr>
    </w:p>
    <w:p w:rsidR="00000000" w:rsidRDefault="00246502">
      <w:pPr>
        <w:widowControl w:val="0"/>
        <w:tabs>
          <w:tab w:val="left" w:pos="697"/>
        </w:tabs>
        <w:spacing w:line="272" w:lineRule="exact"/>
        <w:ind w:left="697" w:hanging="697"/>
      </w:pPr>
      <w:r>
        <w:t>1.</w:t>
      </w:r>
      <w:r>
        <w:tab/>
        <w:t>Direct Obligations of the Federal Governmen</w:t>
      </w:r>
      <w:r>
        <w:t>t Backed by the Full Faith and Credit of the United States:</w:t>
      </w:r>
    </w:p>
    <w:p w:rsidR="00000000" w:rsidRDefault="00246502">
      <w:pPr>
        <w:widowControl w:val="0"/>
        <w:tabs>
          <w:tab w:val="left" w:pos="697"/>
        </w:tabs>
        <w:spacing w:line="272" w:lineRule="exact"/>
      </w:pPr>
    </w:p>
    <w:p w:rsidR="00000000" w:rsidRDefault="00246502">
      <w:pPr>
        <w:widowControl w:val="0"/>
        <w:tabs>
          <w:tab w:val="left" w:pos="1394"/>
          <w:tab w:val="left" w:pos="2080"/>
        </w:tabs>
        <w:spacing w:line="272" w:lineRule="exact"/>
        <w:ind w:left="2081" w:hanging="686"/>
      </w:pPr>
      <w:r>
        <w:t>a.</w:t>
      </w:r>
      <w:r>
        <w:tab/>
        <w:t>U.S. Treasury Bills</w:t>
      </w:r>
    </w:p>
    <w:p w:rsidR="00000000" w:rsidRDefault="00246502">
      <w:pPr>
        <w:widowControl w:val="0"/>
        <w:tabs>
          <w:tab w:val="left" w:pos="1394"/>
          <w:tab w:val="left" w:pos="2080"/>
        </w:tabs>
        <w:spacing w:line="272" w:lineRule="exact"/>
        <w:ind w:left="2081" w:hanging="686"/>
      </w:pPr>
      <w:r>
        <w:t>b.</w:t>
      </w:r>
      <w:r>
        <w:tab/>
        <w:t>U.S. Treasury Notes</w:t>
      </w:r>
    </w:p>
    <w:p w:rsidR="00000000" w:rsidRDefault="00246502">
      <w:pPr>
        <w:widowControl w:val="0"/>
        <w:tabs>
          <w:tab w:val="left" w:pos="1394"/>
          <w:tab w:val="left" w:pos="2080"/>
        </w:tabs>
        <w:spacing w:line="272" w:lineRule="exact"/>
        <w:ind w:left="2081" w:hanging="686"/>
      </w:pPr>
      <w:r>
        <w:t>c.</w:t>
      </w:r>
      <w:r>
        <w:tab/>
        <w:t>U.S. Treasury Bonds</w:t>
      </w:r>
    </w:p>
    <w:p w:rsidR="00000000" w:rsidRDefault="00246502">
      <w:pPr>
        <w:widowControl w:val="0"/>
        <w:tabs>
          <w:tab w:val="left" w:pos="1394"/>
          <w:tab w:val="left" w:pos="2080"/>
        </w:tabs>
        <w:spacing w:line="272" w:lineRule="exact"/>
      </w:pPr>
    </w:p>
    <w:p w:rsidR="00000000" w:rsidRDefault="00246502">
      <w:pPr>
        <w:widowControl w:val="0"/>
        <w:tabs>
          <w:tab w:val="left" w:pos="708"/>
        </w:tabs>
        <w:ind w:left="709" w:hanging="708"/>
      </w:pPr>
      <w:r>
        <w:t>2.</w:t>
      </w:r>
      <w:r>
        <w:tab/>
        <w:t>Obligations of Federal Government Agencies:</w:t>
      </w:r>
    </w:p>
    <w:p w:rsidR="00000000" w:rsidRDefault="00246502">
      <w:pPr>
        <w:widowControl w:val="0"/>
        <w:tabs>
          <w:tab w:val="left" w:pos="708"/>
        </w:tabs>
      </w:pPr>
    </w:p>
    <w:p w:rsidR="00000000" w:rsidRDefault="00246502">
      <w:pPr>
        <w:widowControl w:val="0"/>
        <w:tabs>
          <w:tab w:val="left" w:pos="1400"/>
          <w:tab w:val="left" w:pos="2074"/>
        </w:tabs>
        <w:ind w:left="2075" w:hanging="675"/>
      </w:pPr>
      <w:r>
        <w:t>a.</w:t>
      </w:r>
      <w:r>
        <w:tab/>
      </w:r>
      <w:r>
        <w:tab/>
        <w:t>Federal Financing Bank IFFB)</w:t>
      </w:r>
    </w:p>
    <w:p w:rsidR="00000000" w:rsidRDefault="00246502">
      <w:pPr>
        <w:widowControl w:val="0"/>
        <w:tabs>
          <w:tab w:val="left" w:pos="1388"/>
          <w:tab w:val="left" w:pos="2091"/>
        </w:tabs>
        <w:ind w:left="2092" w:hanging="703"/>
      </w:pPr>
      <w:r>
        <w:t>b.</w:t>
      </w:r>
      <w:r>
        <w:tab/>
      </w:r>
      <w:r>
        <w:tab/>
        <w:t>Government National Mortgage Association (GNMA)</w:t>
      </w:r>
    </w:p>
    <w:p w:rsidR="00000000" w:rsidRDefault="00246502">
      <w:pPr>
        <w:widowControl w:val="0"/>
        <w:tabs>
          <w:tab w:val="left" w:pos="1394"/>
          <w:tab w:val="left" w:pos="2080"/>
        </w:tabs>
        <w:spacing w:line="272" w:lineRule="exact"/>
        <w:ind w:left="2081" w:hanging="686"/>
      </w:pPr>
      <w:r>
        <w:t>c.</w:t>
      </w:r>
      <w:r>
        <w:tab/>
        <w:t>Mortgage Backed Securities (GNMA I and GNMA II)</w:t>
      </w:r>
    </w:p>
    <w:p w:rsidR="00000000" w:rsidRDefault="00246502">
      <w:pPr>
        <w:widowControl w:val="0"/>
        <w:tabs>
          <w:tab w:val="left" w:pos="1383"/>
          <w:tab w:val="left" w:pos="2091"/>
        </w:tabs>
        <w:ind w:left="2092" w:hanging="709"/>
      </w:pPr>
      <w:r>
        <w:t>d.</w:t>
      </w:r>
      <w:r>
        <w:tab/>
        <w:t>GNMA Participation Certificates</w:t>
      </w:r>
    </w:p>
    <w:p w:rsidR="00000000" w:rsidRDefault="00246502">
      <w:pPr>
        <w:widowControl w:val="0"/>
        <w:tabs>
          <w:tab w:val="left" w:pos="1383"/>
          <w:tab w:val="left" w:pos="2091"/>
        </w:tabs>
        <w:ind w:left="2092" w:hanging="709"/>
      </w:pPr>
      <w:r>
        <w:t>e.</w:t>
      </w:r>
      <w:r>
        <w:tab/>
        <w:t>Maritime Administration Merchant Marine Bonds</w:t>
      </w:r>
    </w:p>
    <w:p w:rsidR="00000000" w:rsidRDefault="00246502">
      <w:pPr>
        <w:widowControl w:val="0"/>
        <w:tabs>
          <w:tab w:val="left" w:pos="1394"/>
          <w:tab w:val="left" w:pos="2080"/>
        </w:tabs>
        <w:spacing w:line="272" w:lineRule="exact"/>
        <w:ind w:left="2081" w:hanging="686"/>
      </w:pPr>
      <w:r>
        <w:t>f.</w:t>
      </w:r>
      <w:r>
        <w:tab/>
        <w:t>Maritime Administration Merchant Marine Notes</w:t>
      </w:r>
    </w:p>
    <w:p w:rsidR="00000000" w:rsidRDefault="00246502">
      <w:pPr>
        <w:widowControl w:val="0"/>
        <w:tabs>
          <w:tab w:val="left" w:pos="1400"/>
          <w:tab w:val="left" w:pos="2074"/>
        </w:tabs>
      </w:pPr>
      <w:r>
        <w:tab/>
        <w:t>g.</w:t>
      </w:r>
      <w:r>
        <w:tab/>
        <w:t>Maritime Administration Merchant Marine Obligations</w:t>
      </w:r>
    </w:p>
    <w:p w:rsidR="00000000" w:rsidRDefault="00246502">
      <w:pPr>
        <w:widowControl w:val="0"/>
        <w:tabs>
          <w:tab w:val="left" w:pos="1400"/>
          <w:tab w:val="left" w:pos="2074"/>
        </w:tabs>
        <w:ind w:left="2075" w:hanging="675"/>
      </w:pPr>
      <w:r>
        <w:t>h.</w:t>
      </w:r>
      <w:r>
        <w:tab/>
        <w:t>Small</w:t>
      </w:r>
      <w:r>
        <w:t xml:space="preserve"> Business Administration (SBA)</w:t>
      </w:r>
    </w:p>
    <w:p w:rsidR="00000000" w:rsidRDefault="00246502">
      <w:pPr>
        <w:widowControl w:val="0"/>
        <w:tabs>
          <w:tab w:val="left" w:pos="1383"/>
          <w:tab w:val="left" w:pos="2091"/>
        </w:tabs>
        <w:ind w:left="2092" w:hanging="709"/>
      </w:pPr>
      <w:r>
        <w:t xml:space="preserve"> i.</w:t>
      </w:r>
      <w:r>
        <w:tab/>
        <w:t>Small Business Investment Corporation (SBIC) Debentures</w:t>
      </w:r>
    </w:p>
    <w:p w:rsidR="00000000" w:rsidRDefault="00246502">
      <w:pPr>
        <w:widowControl w:val="0"/>
        <w:tabs>
          <w:tab w:val="left" w:pos="1400"/>
          <w:tab w:val="left" w:pos="2074"/>
        </w:tabs>
        <w:ind w:left="2075" w:hanging="675"/>
      </w:pPr>
      <w:r>
        <w:t>j.</w:t>
      </w:r>
      <w:r>
        <w:tab/>
        <w:t>Tennessee Valley Authority (TVA) Power Bonds</w:t>
      </w:r>
    </w:p>
    <w:p w:rsidR="00000000" w:rsidRDefault="00246502">
      <w:pPr>
        <w:widowControl w:val="0"/>
        <w:tabs>
          <w:tab w:val="left" w:pos="1394"/>
          <w:tab w:val="left" w:pos="2080"/>
        </w:tabs>
        <w:spacing w:line="272" w:lineRule="exact"/>
        <w:ind w:left="2081" w:hanging="686"/>
      </w:pPr>
      <w:r>
        <w:t>k.</w:t>
      </w:r>
      <w:r>
        <w:tab/>
        <w:t>Tennessee Valley Authority (TVA) Power Notes</w:t>
      </w:r>
    </w:p>
    <w:p w:rsidR="00000000" w:rsidRDefault="00246502">
      <w:pPr>
        <w:widowControl w:val="0"/>
        <w:tabs>
          <w:tab w:val="left" w:pos="697"/>
        </w:tabs>
        <w:spacing w:line="532" w:lineRule="exact"/>
      </w:pPr>
      <w:r>
        <w:t>3.</w:t>
      </w:r>
      <w:r>
        <w:tab/>
        <w:t>Securities of Government Sponsored Agencies;</w:t>
      </w:r>
    </w:p>
    <w:p w:rsidR="00000000" w:rsidRDefault="00246502">
      <w:pPr>
        <w:widowControl w:val="0"/>
        <w:tabs>
          <w:tab w:val="left" w:pos="1394"/>
          <w:tab w:val="left" w:pos="2080"/>
        </w:tabs>
        <w:spacing w:line="272" w:lineRule="exact"/>
        <w:ind w:left="2081" w:hanging="686"/>
      </w:pPr>
    </w:p>
    <w:p w:rsidR="00000000" w:rsidRDefault="00246502">
      <w:pPr>
        <w:widowControl w:val="0"/>
        <w:tabs>
          <w:tab w:val="left" w:pos="1394"/>
          <w:tab w:val="left" w:pos="2080"/>
        </w:tabs>
        <w:spacing w:line="272" w:lineRule="exact"/>
        <w:ind w:left="2081" w:hanging="686"/>
      </w:pPr>
      <w:r>
        <w:t>a.</w:t>
      </w:r>
      <w:r>
        <w:tab/>
        <w:t>Farm Credit Consolidated System Wide Discount Notes</w:t>
      </w:r>
    </w:p>
    <w:p w:rsidR="00000000" w:rsidRDefault="00246502">
      <w:pPr>
        <w:widowControl w:val="0"/>
        <w:tabs>
          <w:tab w:val="left" w:pos="1400"/>
          <w:tab w:val="left" w:pos="2074"/>
        </w:tabs>
        <w:ind w:left="2075" w:hanging="675"/>
      </w:pPr>
      <w:r>
        <w:t>b.</w:t>
      </w:r>
      <w:r>
        <w:tab/>
        <w:t>Federal Farm Credit Banks Consolidated System Wide Bonds</w:t>
      </w:r>
    </w:p>
    <w:p w:rsidR="00000000" w:rsidRDefault="00246502">
      <w:pPr>
        <w:widowControl w:val="0"/>
        <w:tabs>
          <w:tab w:val="left" w:pos="1383"/>
          <w:tab w:val="left" w:pos="2091"/>
        </w:tabs>
        <w:ind w:left="2092" w:hanging="709"/>
      </w:pPr>
      <w:r>
        <w:t>c.</w:t>
      </w:r>
      <w:r>
        <w:tab/>
        <w:t>Federal Home Loan Banks Consolidated Obligations</w:t>
      </w:r>
    </w:p>
    <w:p w:rsidR="00000000" w:rsidRDefault="00246502">
      <w:pPr>
        <w:widowControl w:val="0"/>
        <w:tabs>
          <w:tab w:val="left" w:pos="1388"/>
          <w:tab w:val="left" w:pos="2091"/>
        </w:tabs>
        <w:ind w:left="2092" w:hanging="703"/>
      </w:pPr>
      <w:r>
        <w:t>d.</w:t>
      </w:r>
      <w:r>
        <w:tab/>
        <w:t>FHLMC Mortgage Participation Certificates (PC) (Guaranteed)</w:t>
      </w:r>
    </w:p>
    <w:p w:rsidR="00000000" w:rsidRDefault="00246502">
      <w:pPr>
        <w:widowControl w:val="0"/>
        <w:tabs>
          <w:tab w:val="left" w:pos="1400"/>
          <w:tab w:val="left" w:pos="2074"/>
        </w:tabs>
        <w:ind w:left="2075" w:hanging="675"/>
      </w:pPr>
      <w:r>
        <w:t>e.</w:t>
      </w:r>
      <w:r>
        <w:tab/>
        <w:t>FHLMC Collateralized Mortgage Obligations (</w:t>
      </w:r>
      <w:r>
        <w:t>CMOs)</w:t>
      </w:r>
    </w:p>
    <w:p w:rsidR="00000000" w:rsidRDefault="00246502">
      <w:pPr>
        <w:widowControl w:val="0"/>
        <w:tabs>
          <w:tab w:val="left" w:pos="1394"/>
          <w:tab w:val="left" w:pos="2080"/>
        </w:tabs>
        <w:spacing w:line="272" w:lineRule="exact"/>
        <w:ind w:left="2081" w:hanging="686"/>
      </w:pPr>
      <w:r>
        <w:t xml:space="preserve"> f.</w:t>
      </w:r>
      <w:r>
        <w:tab/>
        <w:t>Federal National Mortgage Association (FNMA) Debentures</w:t>
      </w:r>
    </w:p>
    <w:p w:rsidR="00000000" w:rsidRDefault="00246502">
      <w:pPr>
        <w:widowControl w:val="0"/>
        <w:tabs>
          <w:tab w:val="left" w:pos="1394"/>
          <w:tab w:val="left" w:pos="2080"/>
        </w:tabs>
        <w:spacing w:line="272" w:lineRule="exact"/>
        <w:ind w:left="2081" w:hanging="686"/>
      </w:pPr>
      <w:r>
        <w:t>g.</w:t>
      </w:r>
      <w:r>
        <w:tab/>
        <w:t>FNMA Notes</w:t>
      </w:r>
    </w:p>
    <w:p w:rsidR="00000000" w:rsidRDefault="00246502">
      <w:pPr>
        <w:widowControl w:val="0"/>
        <w:tabs>
          <w:tab w:val="left" w:pos="1394"/>
          <w:tab w:val="left" w:pos="2080"/>
        </w:tabs>
        <w:spacing w:line="272" w:lineRule="exact"/>
        <w:ind w:left="2081" w:hanging="686"/>
      </w:pPr>
      <w:r>
        <w:t>h.</w:t>
      </w:r>
      <w:r>
        <w:tab/>
        <w:t xml:space="preserve">FNMA Short Term Discount Notes </w:t>
      </w:r>
    </w:p>
    <w:p w:rsidR="00000000" w:rsidRDefault="00246502">
      <w:pPr>
        <w:widowControl w:val="0"/>
        <w:tabs>
          <w:tab w:val="left" w:pos="1394"/>
          <w:tab w:val="left" w:pos="2080"/>
        </w:tabs>
        <w:spacing w:line="272" w:lineRule="exact"/>
        <w:ind w:left="2081" w:hanging="686"/>
      </w:pPr>
      <w:r>
        <w:t>i.</w:t>
      </w:r>
      <w:r>
        <w:tab/>
        <w:t>FNMA Capital Debentures</w:t>
      </w:r>
    </w:p>
    <w:p w:rsidR="00000000" w:rsidRDefault="00246502">
      <w:pPr>
        <w:widowControl w:val="0"/>
        <w:tabs>
          <w:tab w:val="left" w:pos="1383"/>
          <w:tab w:val="left" w:pos="2091"/>
        </w:tabs>
        <w:ind w:left="2092" w:hanging="709"/>
      </w:pPr>
      <w:r>
        <w:t>j.</w:t>
      </w:r>
      <w:r>
        <w:tab/>
        <w:t>Student Loan Marketing Associations (SLMA) Obligations</w:t>
      </w:r>
    </w:p>
    <w:p w:rsidR="00000000" w:rsidRDefault="00246502">
      <w:pPr>
        <w:widowControl w:val="0"/>
        <w:tabs>
          <w:tab w:val="left" w:pos="697"/>
        </w:tabs>
        <w:spacing w:line="532" w:lineRule="exact"/>
      </w:pPr>
      <w:r>
        <w:t>4.</w:t>
      </w:r>
      <w:r>
        <w:tab/>
        <w:t>Demand and Savings Deposits</w:t>
      </w:r>
    </w:p>
    <w:p w:rsidR="00000000" w:rsidRDefault="00246502">
      <w:pPr>
        <w:widowControl w:val="0"/>
        <w:tabs>
          <w:tab w:val="left" w:pos="697"/>
        </w:tabs>
        <w:spacing w:line="272" w:lineRule="exact"/>
      </w:pPr>
    </w:p>
    <w:p w:rsidR="00000000" w:rsidRDefault="00246502">
      <w:pPr>
        <w:widowControl w:val="0"/>
        <w:tabs>
          <w:tab w:val="left" w:pos="697"/>
        </w:tabs>
        <w:spacing w:line="272" w:lineRule="exact"/>
      </w:pPr>
      <w:r>
        <w:t>5.</w:t>
      </w:r>
      <w:r>
        <w:tab/>
        <w:t>Money Market Deposit Accounts</w:t>
      </w:r>
    </w:p>
    <w:p w:rsidR="00000000" w:rsidRDefault="00246502">
      <w:pPr>
        <w:widowControl w:val="0"/>
        <w:tabs>
          <w:tab w:val="left" w:pos="708"/>
        </w:tabs>
      </w:pPr>
    </w:p>
    <w:p w:rsidR="00000000" w:rsidRDefault="00246502">
      <w:pPr>
        <w:widowControl w:val="0"/>
        <w:tabs>
          <w:tab w:val="left" w:pos="708"/>
        </w:tabs>
      </w:pPr>
      <w:r>
        <w:t>6.</w:t>
      </w:r>
      <w:r>
        <w:tab/>
        <w:t>Municipal Depository Fund</w:t>
      </w:r>
    </w:p>
    <w:p w:rsidR="00000000" w:rsidRDefault="00246502">
      <w:pPr>
        <w:widowControl w:val="0"/>
        <w:tabs>
          <w:tab w:val="left" w:pos="708"/>
        </w:tabs>
      </w:pPr>
    </w:p>
    <w:p w:rsidR="00000000" w:rsidRDefault="00246502">
      <w:pPr>
        <w:widowControl w:val="0"/>
        <w:tabs>
          <w:tab w:val="left" w:pos="708"/>
        </w:tabs>
      </w:pPr>
      <w:r>
        <w:t>7.</w:t>
      </w:r>
      <w:r>
        <w:tab/>
        <w:t>Super NOW Accounts</w:t>
      </w: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r>
        <w:t>8.</w:t>
      </w:r>
      <w:r>
        <w:tab/>
        <w:t>Certificates of Deposit</w:t>
      </w:r>
    </w:p>
    <w:p w:rsidR="00000000" w:rsidRDefault="00246502">
      <w:pPr>
        <w:widowControl w:val="0"/>
        <w:tabs>
          <w:tab w:val="left" w:pos="708"/>
        </w:tabs>
      </w:pPr>
    </w:p>
    <w:p w:rsidR="00000000" w:rsidRDefault="00246502">
      <w:pPr>
        <w:widowControl w:val="0"/>
        <w:tabs>
          <w:tab w:val="left" w:pos="708"/>
        </w:tabs>
      </w:pPr>
      <w:r>
        <w:t>9.</w:t>
      </w:r>
      <w:r>
        <w:tab/>
        <w:t>Repurchase Agreements (Special Requirements)</w:t>
      </w:r>
    </w:p>
    <w:p w:rsidR="00000000" w:rsidRDefault="00246502">
      <w:pPr>
        <w:widowControl w:val="0"/>
        <w:tabs>
          <w:tab w:val="left" w:pos="708"/>
        </w:tabs>
      </w:pPr>
    </w:p>
    <w:p w:rsidR="00000000" w:rsidRDefault="00246502">
      <w:pPr>
        <w:widowControl w:val="0"/>
        <w:tabs>
          <w:tab w:val="left" w:pos="708"/>
        </w:tabs>
      </w:pPr>
      <w:r>
        <w:t>10.</w:t>
      </w:r>
      <w:r>
        <w:tab/>
        <w:t>Sweep Accounts</w:t>
      </w:r>
    </w:p>
    <w:p w:rsidR="00000000" w:rsidRDefault="00246502">
      <w:pPr>
        <w:widowControl w:val="0"/>
        <w:tabs>
          <w:tab w:val="left" w:pos="708"/>
        </w:tabs>
      </w:pPr>
    </w:p>
    <w:p w:rsidR="00000000" w:rsidRDefault="00246502">
      <w:pPr>
        <w:widowControl w:val="0"/>
        <w:tabs>
          <w:tab w:val="left" w:pos="708"/>
        </w:tabs>
        <w:ind w:left="700" w:hanging="700"/>
      </w:pPr>
      <w:r>
        <w:t>11.</w:t>
      </w:r>
      <w:r>
        <w:tab/>
        <w:t>Separate Trading of Registered Interest and Principal Securities</w:t>
      </w:r>
    </w:p>
    <w:p w:rsidR="00000000" w:rsidRDefault="00246502">
      <w:pPr>
        <w:widowControl w:val="0"/>
        <w:tabs>
          <w:tab w:val="left" w:pos="708"/>
        </w:tabs>
      </w:pPr>
      <w:r>
        <w:tab/>
      </w:r>
    </w:p>
    <w:p w:rsidR="00000000" w:rsidRDefault="00246502">
      <w:pPr>
        <w:widowControl w:val="0"/>
        <w:tabs>
          <w:tab w:val="left" w:pos="708"/>
        </w:tabs>
      </w:pPr>
      <w:r>
        <w:t>12.</w:t>
      </w:r>
      <w:r>
        <w:tab/>
        <w:t>Mutual Funds (Specia</w:t>
      </w:r>
      <w:r>
        <w:t>l Requirements)</w:t>
      </w: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p>
    <w:p w:rsidR="00000000" w:rsidRDefault="00246502">
      <w:pPr>
        <w:widowControl w:val="0"/>
        <w:tabs>
          <w:tab w:val="left" w:pos="708"/>
        </w:tabs>
        <w:jc w:val="center"/>
        <w:rPr>
          <w:b/>
        </w:rPr>
      </w:pPr>
      <w:r>
        <w:rPr>
          <w:b/>
        </w:rPr>
        <w:t>CERTIFICATION</w:t>
      </w:r>
    </w:p>
    <w:p w:rsidR="00000000" w:rsidRDefault="00246502">
      <w:pPr>
        <w:widowControl w:val="0"/>
        <w:tabs>
          <w:tab w:val="left" w:pos="708"/>
        </w:tabs>
      </w:pPr>
    </w:p>
    <w:p w:rsidR="00000000" w:rsidRDefault="00246502">
      <w:pPr>
        <w:widowControl w:val="0"/>
        <w:tabs>
          <w:tab w:val="left" w:pos="708"/>
        </w:tabs>
      </w:pPr>
    </w:p>
    <w:p w:rsidR="00000000" w:rsidRDefault="00246502">
      <w:pPr>
        <w:widowControl w:val="0"/>
        <w:tabs>
          <w:tab w:val="left" w:pos="204"/>
        </w:tabs>
        <w:spacing w:line="277" w:lineRule="exact"/>
        <w:jc w:val="both"/>
      </w:pPr>
      <w:r>
        <w:t xml:space="preserve">I hereby certify that I have received and thoroughly reviewed the investment policy of the Housing Authority of the City of </w:t>
      </w:r>
      <w:r>
        <w:rPr>
          <w:u w:val="single"/>
        </w:rPr>
        <w:tab/>
      </w:r>
      <w:r>
        <w:rPr>
          <w:u w:val="single"/>
        </w:rPr>
        <w:tab/>
      </w:r>
      <w:r>
        <w:rPr>
          <w:u w:val="single"/>
        </w:rPr>
        <w:tab/>
      </w:r>
      <w:r>
        <w:t xml:space="preserve"> and have implemented reasonable procedures and controls designed to preclude imprudent investment activities arising out of investment transactions conducted between this firm and the Housing Authority of the City of </w:t>
      </w:r>
      <w:r>
        <w:rPr>
          <w:u w:val="single"/>
        </w:rPr>
        <w:tab/>
      </w:r>
      <w:r>
        <w:rPr>
          <w:u w:val="single"/>
        </w:rPr>
        <w:tab/>
      </w:r>
      <w:r>
        <w:t xml:space="preserve">. Transactions between this firm and the Housing Authority of the City of </w:t>
      </w:r>
      <w:r>
        <w:rPr>
          <w:u w:val="single"/>
        </w:rPr>
        <w:tab/>
      </w:r>
      <w:r>
        <w:rPr>
          <w:u w:val="single"/>
        </w:rPr>
        <w:tab/>
      </w:r>
      <w:r>
        <w:rPr>
          <w:u w:val="single"/>
        </w:rPr>
        <w:tab/>
      </w:r>
      <w:r>
        <w:t xml:space="preserve"> will be directed</w:t>
      </w:r>
      <w:r>
        <w:t xml:space="preserve"> towards protecting the Authority from credit or market risk.</w:t>
      </w: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pPr>
      <w:r>
        <w:t xml:space="preserve">All  sales  personnel  of  this  firm  dealing  with  the  Housing Authority of the City of </w:t>
      </w:r>
      <w:r>
        <w:rPr>
          <w:u w:val="single"/>
        </w:rPr>
        <w:tab/>
      </w:r>
      <w:r>
        <w:rPr>
          <w:u w:val="single"/>
        </w:rPr>
        <w:tab/>
      </w:r>
      <w:r>
        <w:rPr>
          <w:u w:val="single"/>
        </w:rPr>
        <w:tab/>
      </w:r>
      <w:r>
        <w:t xml:space="preserve"> accounts have been informed and will be routinely informed of the Housing Authority of the City of </w:t>
      </w:r>
      <w:r>
        <w:rPr>
          <w:u w:val="single"/>
        </w:rPr>
        <w:tab/>
      </w:r>
      <w:r>
        <w:rPr>
          <w:u w:val="single"/>
        </w:rPr>
        <w:tab/>
      </w:r>
      <w:r>
        <w:rPr>
          <w:u w:val="single"/>
        </w:rPr>
        <w:tab/>
      </w:r>
      <w:r>
        <w:t xml:space="preserve">investment horizons, limita-tions, strategy, and risk constraints, whenever we are </w:t>
      </w:r>
      <w:r>
        <w:rPr>
          <w:i/>
        </w:rPr>
        <w:t xml:space="preserve">so </w:t>
      </w:r>
      <w:r>
        <w:t>informed.</w:t>
      </w: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pPr>
      <w:r>
        <w:t xml:space="preserve">The firm pledges due diligence in informing the Housing Authority of the City of </w:t>
      </w:r>
    </w:p>
    <w:p w:rsidR="00000000" w:rsidRDefault="00246502">
      <w:pPr>
        <w:widowControl w:val="0"/>
        <w:tabs>
          <w:tab w:val="left" w:pos="204"/>
        </w:tabs>
        <w:spacing w:line="277" w:lineRule="exact"/>
        <w:jc w:val="both"/>
      </w:pPr>
      <w:r>
        <w:rPr>
          <w:u w:val="single"/>
        </w:rPr>
        <w:tab/>
      </w:r>
      <w:r>
        <w:rPr>
          <w:u w:val="single"/>
        </w:rPr>
        <w:tab/>
      </w:r>
      <w:r>
        <w:rPr>
          <w:u w:val="single"/>
        </w:rPr>
        <w:tab/>
      </w:r>
      <w:r>
        <w:rPr>
          <w:u w:val="single"/>
        </w:rPr>
        <w:tab/>
      </w:r>
      <w:r>
        <w:t xml:space="preserve"> of foreseeable risks associated with financial transactions connect</w:t>
      </w:r>
      <w:r>
        <w:t>ed to this firm.</w:t>
      </w: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pPr>
    </w:p>
    <w:p w:rsidR="00000000" w:rsidRDefault="00246502">
      <w:pPr>
        <w:widowControl w:val="0"/>
        <w:tabs>
          <w:tab w:val="left" w:pos="204"/>
        </w:tabs>
        <w:spacing w:line="277" w:lineRule="exac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246502">
      <w:pPr>
        <w:widowControl w:val="0"/>
        <w:tabs>
          <w:tab w:val="left" w:pos="1746"/>
        </w:tabs>
        <w:ind w:left="1746"/>
        <w:jc w:val="both"/>
      </w:pPr>
      <w:r>
        <w:t>(Firm)</w:t>
      </w:r>
    </w:p>
    <w:p w:rsidR="00000000" w:rsidRDefault="00246502">
      <w:pPr>
        <w:widowControl w:val="0"/>
        <w:tabs>
          <w:tab w:val="left" w:pos="1746"/>
        </w:tabs>
        <w:jc w:val="both"/>
      </w:pPr>
    </w:p>
    <w:p w:rsidR="00000000" w:rsidRDefault="00246502">
      <w:pPr>
        <w:widowControl w:val="0"/>
        <w:tabs>
          <w:tab w:val="left" w:pos="1746"/>
        </w:tabs>
        <w:jc w:val="both"/>
      </w:pPr>
    </w:p>
    <w:p w:rsidR="00000000" w:rsidRDefault="00246502">
      <w:pPr>
        <w:widowControl w:val="0"/>
        <w:tabs>
          <w:tab w:val="left" w:pos="1746"/>
        </w:tabs>
        <w:jc w:val="both"/>
        <w:rPr>
          <w:u w:val="single"/>
        </w:rPr>
      </w:pPr>
      <w:r>
        <w:rPr>
          <w:u w:val="single"/>
        </w:rPr>
        <w:tab/>
      </w:r>
      <w:r>
        <w:rPr>
          <w:u w:val="single"/>
        </w:rPr>
        <w:tab/>
      </w:r>
      <w:r>
        <w:rPr>
          <w:u w:val="single"/>
        </w:rPr>
        <w:tab/>
      </w:r>
      <w:r>
        <w:rPr>
          <w:u w:val="single"/>
        </w:rPr>
        <w:tab/>
      </w:r>
      <w:r>
        <w:rPr>
          <w:u w:val="single"/>
        </w:rPr>
        <w:tab/>
      </w:r>
    </w:p>
    <w:p w:rsidR="00000000" w:rsidRDefault="00246502">
      <w:pPr>
        <w:widowControl w:val="0"/>
        <w:tabs>
          <w:tab w:val="left" w:pos="413"/>
        </w:tabs>
        <w:ind w:left="414"/>
        <w:jc w:val="both"/>
      </w:pPr>
      <w:r>
        <w:t>(Signature of Registered Principal)</w:t>
      </w:r>
    </w:p>
    <w:p w:rsidR="00000000" w:rsidRDefault="00246502">
      <w:pPr>
        <w:widowControl w:val="0"/>
        <w:tabs>
          <w:tab w:val="left" w:pos="413"/>
        </w:tabs>
        <w:jc w:val="both"/>
      </w:pPr>
    </w:p>
    <w:p w:rsidR="00000000" w:rsidRDefault="00246502">
      <w:pPr>
        <w:widowControl w:val="0"/>
        <w:tabs>
          <w:tab w:val="left" w:pos="413"/>
        </w:tabs>
        <w:jc w:val="both"/>
      </w:pPr>
    </w:p>
    <w:p w:rsidR="00000000" w:rsidRDefault="00246502">
      <w:pPr>
        <w:widowControl w:val="0"/>
        <w:tabs>
          <w:tab w:val="left" w:pos="413"/>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246502">
      <w:pPr>
        <w:widowControl w:val="0"/>
        <w:tabs>
          <w:tab w:val="left" w:pos="1717"/>
        </w:tabs>
        <w:ind w:left="1718"/>
        <w:jc w:val="both"/>
      </w:pPr>
      <w:r>
        <w:t>(Name)</w:t>
      </w:r>
    </w:p>
    <w:p w:rsidR="00000000" w:rsidRDefault="00246502">
      <w:pPr>
        <w:widowControl w:val="0"/>
        <w:tabs>
          <w:tab w:val="left" w:pos="1717"/>
        </w:tabs>
        <w:jc w:val="both"/>
      </w:pPr>
    </w:p>
    <w:p w:rsidR="00000000" w:rsidRDefault="00246502">
      <w:pPr>
        <w:widowControl w:val="0"/>
        <w:tabs>
          <w:tab w:val="left" w:pos="1717"/>
        </w:tabs>
        <w:jc w:val="both"/>
        <w:rPr>
          <w:i/>
        </w:rPr>
      </w:pPr>
    </w:p>
    <w:p w:rsidR="00000000" w:rsidRDefault="00246502">
      <w:pPr>
        <w:widowControl w:val="0"/>
        <w:tabs>
          <w:tab w:val="left" w:pos="1717"/>
        </w:tabs>
        <w:jc w:val="both"/>
        <w:rPr>
          <w:i/>
          <w:u w:val="single"/>
        </w:rPr>
      </w:pPr>
      <w:r>
        <w:rPr>
          <w:i/>
          <w:u w:val="single"/>
        </w:rPr>
        <w:tab/>
      </w:r>
      <w:r>
        <w:rPr>
          <w:i/>
          <w:u w:val="single"/>
        </w:rPr>
        <w:tab/>
      </w:r>
      <w:r>
        <w:rPr>
          <w:i/>
          <w:u w:val="single"/>
        </w:rPr>
        <w:tab/>
      </w:r>
      <w:r>
        <w:rPr>
          <w:i/>
          <w:u w:val="single"/>
        </w:rPr>
        <w:tab/>
      </w:r>
      <w:r>
        <w:rPr>
          <w:i/>
          <w:u w:val="single"/>
        </w:rPr>
        <w:tab/>
      </w:r>
    </w:p>
    <w:p w:rsidR="00000000" w:rsidRDefault="00246502">
      <w:pPr>
        <w:widowControl w:val="0"/>
        <w:tabs>
          <w:tab w:val="left" w:pos="1746"/>
        </w:tabs>
        <w:ind w:left="1746"/>
        <w:jc w:val="both"/>
      </w:pPr>
      <w:r>
        <w:t>(Title)</w:t>
      </w:r>
    </w:p>
    <w:p w:rsidR="00000000" w:rsidRDefault="00246502">
      <w:pPr>
        <w:widowControl w:val="0"/>
        <w:tabs>
          <w:tab w:val="left" w:pos="1746"/>
        </w:tabs>
        <w:jc w:val="both"/>
      </w:pPr>
    </w:p>
    <w:p w:rsidR="00000000" w:rsidRDefault="00246502">
      <w:pPr>
        <w:widowControl w:val="0"/>
        <w:tabs>
          <w:tab w:val="left" w:pos="1746"/>
        </w:tabs>
        <w:jc w:val="both"/>
      </w:pPr>
    </w:p>
    <w:p w:rsidR="00000000" w:rsidRDefault="00246502">
      <w:pPr>
        <w:widowControl w:val="0"/>
        <w:tabs>
          <w:tab w:val="left" w:pos="1746"/>
        </w:tabs>
        <w:jc w:val="both"/>
        <w:rPr>
          <w:u w:val="single"/>
        </w:rPr>
      </w:pPr>
      <w:r>
        <w:rPr>
          <w:u w:val="single"/>
        </w:rPr>
        <w:tab/>
      </w:r>
      <w:r>
        <w:rPr>
          <w:u w:val="single"/>
        </w:rPr>
        <w:tab/>
      </w:r>
      <w:r>
        <w:rPr>
          <w:u w:val="single"/>
        </w:rPr>
        <w:tab/>
      </w:r>
      <w:r>
        <w:rPr>
          <w:u w:val="single"/>
        </w:rPr>
        <w:tab/>
      </w:r>
      <w:r>
        <w:rPr>
          <w:u w:val="single"/>
        </w:rPr>
        <w:tab/>
      </w:r>
    </w:p>
    <w:p w:rsidR="00000000" w:rsidRDefault="00246502">
      <w:pPr>
        <w:widowControl w:val="0"/>
        <w:tabs>
          <w:tab w:val="left" w:pos="1746"/>
        </w:tabs>
        <w:ind w:left="1746"/>
        <w:jc w:val="both"/>
      </w:pPr>
      <w:r>
        <w:t>(Date)</w:t>
      </w:r>
    </w:p>
    <w:sectPr w:rsidR="00000000">
      <w:footerReference w:type="default" r:id="rId7"/>
      <w:type w:val="continuous"/>
      <w:pgSz w:w="12240" w:h="15840"/>
      <w:pgMar w:top="1179" w:right="1696" w:bottom="1190" w:left="1689" w:header="939"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6502">
      <w:r>
        <w:separator/>
      </w:r>
    </w:p>
  </w:endnote>
  <w:endnote w:type="continuationSeparator" w:id="0">
    <w:p w:rsidR="00000000" w:rsidRDefault="0024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6502">
    <w:pPr>
      <w:widowControl w:val="0"/>
      <w:tabs>
        <w:tab w:val="left" w:pos="708"/>
      </w:tabs>
      <w:spacing w:line="240" w:lineRule="exact"/>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6502">
      <w:r>
        <w:separator/>
      </w:r>
    </w:p>
  </w:footnote>
  <w:footnote w:type="continuationSeparator" w:id="0">
    <w:p w:rsidR="00000000" w:rsidRDefault="0024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02"/>
    <w:rsid w:val="0024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1814</Words>
  <Characters>10346</Characters>
  <Application>Microsoft Macintosh Word</Application>
  <DocSecurity>0</DocSecurity>
  <Lines>86</Lines>
  <Paragraphs>24</Paragraphs>
  <ScaleCrop>false</ScaleCrop>
  <HeadingPairs>
    <vt:vector size="2" baseType="variant">
      <vt:variant>
        <vt:lpstr>INVESTMENT POLICY</vt:lpstr>
      </vt:variant>
      <vt:variant>
        <vt:i4>0</vt:i4>
      </vt:variant>
    </vt:vector>
  </HeadingPairs>
  <Company>tha</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dc:title>
  <dc:subject/>
  <dc:creator>linda</dc:creator>
  <cp:keywords/>
  <dc:description/>
  <cp:lastModifiedBy>linda bryant</cp:lastModifiedBy>
  <cp:revision>2</cp:revision>
  <dcterms:created xsi:type="dcterms:W3CDTF">2015-05-24T18:50:00Z</dcterms:created>
  <dcterms:modified xsi:type="dcterms:W3CDTF">2015-05-24T18:50:00Z</dcterms:modified>
</cp:coreProperties>
</file>