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6E" w:rsidRDefault="00631CAE">
      <w:pPr>
        <w:pStyle w:val="Title"/>
        <w:spacing w:after="160"/>
        <w:rPr>
          <w:u w:val="single"/>
        </w:rPr>
      </w:pPr>
      <w:bookmarkStart w:id="0" w:name="_GoBack"/>
      <w:bookmarkEnd w:id="0"/>
      <w:r>
        <w:rPr>
          <w:u w:val="single"/>
        </w:rPr>
        <w:t>Procedure on Affirmative Marketing</w:t>
      </w:r>
    </w:p>
    <w:p w:rsidR="0045336E" w:rsidRDefault="00631CAE">
      <w:pPr>
        <w:pStyle w:val="Subtitle"/>
        <w:spacing w:after="160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 xml:space="preserve">General Requirements </w:t>
      </w:r>
    </w:p>
    <w:p w:rsidR="0045336E" w:rsidRDefault="00631CAE">
      <w:pPr>
        <w:pStyle w:val="BodyText"/>
      </w:pPr>
      <w:r>
        <w:t>It is the responsibility of the Authority to conduct all marketing activities in an open and clear manner, with all marketing information available in both English and any other language used by a</w:t>
      </w:r>
      <w:r>
        <w:t>t least ten percent of the program eligible population of the locality, containing the Fair Housing logo, and in a manner that reaches those eligible families least likely to apply.</w:t>
      </w:r>
    </w:p>
    <w:p w:rsidR="0045336E" w:rsidRDefault="00631CAE">
      <w:pPr>
        <w:pStyle w:val="BodyText2"/>
        <w:widowControl w:val="0"/>
        <w:tabs>
          <w:tab w:val="left" w:pos="360"/>
          <w:tab w:val="left" w:pos="1440"/>
        </w:tabs>
        <w:ind w:left="0"/>
        <w:rPr>
          <w:rFonts w:ascii="Arial Narrow" w:hAnsi="Arial Narrow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/>
        </w:rPr>
        <w:t>Marketing and informational materials will:</w:t>
      </w:r>
    </w:p>
    <w:p w:rsidR="0045336E" w:rsidRDefault="00631CAE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</w:pPr>
      <w:r>
        <w:t>Comply with Fair Housing Ac</w:t>
      </w:r>
      <w:r>
        <w:t xml:space="preserve">t requirements on wording, logo, size of type, etc. </w:t>
      </w:r>
      <w:r>
        <w:rPr>
          <w:rStyle w:val="FootnoteReference"/>
        </w:rPr>
        <w:footnoteReference w:id="1"/>
      </w:r>
      <w:proofErr w:type="gramStart"/>
      <w:r>
        <w:t>.;</w:t>
      </w:r>
      <w:proofErr w:type="gramEnd"/>
      <w:r>
        <w:t xml:space="preserve">  </w:t>
      </w:r>
    </w:p>
    <w:p w:rsidR="0045336E" w:rsidRDefault="00631CAE">
      <w:pPr>
        <w:pStyle w:val="BodyTextIndent3"/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Describe the housing units, application process, waiting list and preference structure accurately;</w:t>
      </w:r>
    </w:p>
    <w:p w:rsidR="0045336E" w:rsidRDefault="00631CAE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</w:pPr>
      <w:r>
        <w:t>Use clear and easy to understand terms and more than strictly English-language and other-language p</w:t>
      </w:r>
      <w:r>
        <w:t>rint media;</w:t>
      </w:r>
    </w:p>
    <w:p w:rsidR="0045336E" w:rsidRDefault="00631CAE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</w:pPr>
      <w:r>
        <w:t>Contact agencies that serve potentially qualified applicants least likely to apply (e.g. persons with disabilities or members of racial or ethnic minority groups) to ensure that accessible/adaptable units are offered to applicants who need thei</w:t>
      </w:r>
      <w:r>
        <w:t xml:space="preserve">r features and that all minorities are notified; </w:t>
      </w:r>
    </w:p>
    <w:p w:rsidR="0045336E" w:rsidRDefault="00631CAE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</w:pPr>
      <w:r>
        <w:t>Make clear who is eligible:  low income individuals and families; working and non-working people; and people with both physical and mental disabilities; and</w:t>
      </w:r>
    </w:p>
    <w:p w:rsidR="0045336E" w:rsidRDefault="00631CAE">
      <w:pPr>
        <w:numPr>
          <w:ilvl w:val="0"/>
          <w:numId w:val="1"/>
        </w:numPr>
        <w:tabs>
          <w:tab w:val="left" w:pos="360"/>
        </w:tabs>
        <w:spacing w:after="160"/>
        <w:jc w:val="both"/>
      </w:pPr>
      <w:r>
        <w:t>Be clear about PHA's responsibility to provide re</w:t>
      </w:r>
      <w:r>
        <w:t>asonable accommodations to people with disabilities.</w:t>
      </w:r>
    </w:p>
    <w:p w:rsidR="0045336E" w:rsidRDefault="00631CAE">
      <w:pPr>
        <w:tabs>
          <w:tab w:val="left" w:pos="360"/>
        </w:tabs>
        <w:spacing w:after="160"/>
        <w:ind w:left="360" w:hanging="360"/>
        <w:jc w:val="both"/>
      </w:pPr>
      <w:r>
        <w:t>2.</w:t>
      </w:r>
      <w:r>
        <w:tab/>
        <w:t>In order to identify and then market effectively to those eligible families least likely to apply, PHA or its contractor shall, at least once each year perform the following actions:</w:t>
      </w:r>
    </w:p>
    <w:p w:rsidR="0045336E" w:rsidRDefault="00631CAE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Prepare a propert</w:t>
      </w:r>
      <w:r>
        <w:rPr>
          <w:rFonts w:cs="Arial"/>
        </w:rPr>
        <w:t>y-by-property demographic breakdown that identifies the number and percentage of residents who are: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Elderly families (Head, spouse or sole member age 62 or older);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Disabled families (Head, spouse or sole member a person with disabilities);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 xml:space="preserve">White/Caucasian </w:t>
      </w:r>
      <w:r>
        <w:rPr>
          <w:rFonts w:cs="Arial"/>
        </w:rPr>
        <w:t>families;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Black/African American families;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Asian families;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Hawaiian/Pacific Islander families;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Native American/Alaska Native families;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Hispanic/Latino families;</w:t>
      </w:r>
    </w:p>
    <w:p w:rsidR="0045336E" w:rsidRDefault="00631CAE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Non-Hispanic/Non-Latino families;</w:t>
      </w:r>
    </w:p>
    <w:p w:rsidR="0045336E" w:rsidRDefault="00631CAE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Prepare a breakdown of each site-based waiting list and any c</w:t>
      </w:r>
      <w:r>
        <w:rPr>
          <w:rFonts w:cs="Arial"/>
        </w:rPr>
        <w:t>itywide waiting list that breaks down the number and percentage of applicants by the categories listed above;</w:t>
      </w:r>
    </w:p>
    <w:p w:rsidR="0045336E" w:rsidRDefault="00631CAE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Using the most recent demographic information for the City, the PHA shall determine the number and percentage of income eligible families, first a</w:t>
      </w:r>
      <w:r>
        <w:rPr>
          <w:rFonts w:cs="Arial"/>
        </w:rPr>
        <w:t xml:space="preserve">ll eligible families using the categories above, then </w:t>
      </w:r>
      <w:r>
        <w:rPr>
          <w:rFonts w:cs="Arial"/>
        </w:rPr>
        <w:lastRenderedPageBreak/>
        <w:t>subdividing the eligible families by income tier and the categories above as follows:</w:t>
      </w:r>
    </w:p>
    <w:p w:rsidR="0045336E" w:rsidRDefault="00631CAE">
      <w:pPr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Extremely low income families (incomes less than 30 percent of area median income, adjusted for family size);</w:t>
      </w:r>
    </w:p>
    <w:p w:rsidR="0045336E" w:rsidRDefault="00631CAE">
      <w:pPr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Very l</w:t>
      </w:r>
      <w:r>
        <w:rPr>
          <w:rFonts w:cs="Arial"/>
        </w:rPr>
        <w:t>ow income families (incomes between 31 and 50 percent of area median income adjusted for family size);</w:t>
      </w:r>
    </w:p>
    <w:p w:rsidR="0045336E" w:rsidRDefault="00631CAE">
      <w:pPr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Tax credit eligible families (incomes up to 60 percent of area median income adjusted for family size);</w:t>
      </w:r>
    </w:p>
    <w:p w:rsidR="0045336E" w:rsidRDefault="00631CAE">
      <w:pPr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 xml:space="preserve">Lower income families (incomes between 50 and 80 </w:t>
      </w:r>
      <w:r>
        <w:rPr>
          <w:rFonts w:cs="Arial"/>
        </w:rPr>
        <w:t>percent of area median income adjusted for family size).</w:t>
      </w:r>
    </w:p>
    <w:p w:rsidR="0045336E" w:rsidRDefault="00631CAE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Compare the data on property demographics and waiting list demographics to the citywide eligible family data to determine whether there are any categories of eligible families who are under-served  (</w:t>
      </w:r>
      <w:r>
        <w:rPr>
          <w:rFonts w:cs="Arial"/>
        </w:rPr>
        <w:t>i.e., 10 percent or more difference) by age, disability, race or ethnicity.</w:t>
      </w:r>
    </w:p>
    <w:p w:rsidR="0045336E" w:rsidRDefault="00631CAE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Using data on unit turnover, determine the number, size, type (accessible, adaptable and non-accessible/adaptable) and locations of apartments likely to become vacant in the next 1</w:t>
      </w:r>
      <w:r>
        <w:rPr>
          <w:rFonts w:cs="Arial"/>
        </w:rPr>
        <w:t>2 months.</w:t>
      </w:r>
    </w:p>
    <w:p w:rsidR="0045336E" w:rsidRDefault="00631CAE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Review the applicable waiting lists against the likely availability projections from step (e) above, and determine whether any waiting lists that are presently closed will be re-opened.</w:t>
      </w:r>
    </w:p>
    <w:p w:rsidR="0045336E" w:rsidRDefault="00631CAE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If there are any under-served categories of families (step d</w:t>
      </w:r>
      <w:r>
        <w:rPr>
          <w:rFonts w:cs="Arial"/>
        </w:rPr>
        <w:t xml:space="preserve">), determine where those families are currently located and which income tier they fall under, and design </w:t>
      </w:r>
      <w:proofErr w:type="gramStart"/>
      <w:r>
        <w:rPr>
          <w:rFonts w:cs="Arial"/>
        </w:rPr>
        <w:t>a marketing</w:t>
      </w:r>
      <w:proofErr w:type="gramEnd"/>
      <w:r>
        <w:rPr>
          <w:rFonts w:cs="Arial"/>
        </w:rPr>
        <w:t xml:space="preserve"> campaign to reach those families.  </w:t>
      </w:r>
    </w:p>
    <w:p w:rsidR="0045336E" w:rsidRDefault="00631CAE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r>
        <w:rPr>
          <w:rFonts w:cs="Arial"/>
        </w:rPr>
        <w:t>The campaign should, at a minimum,</w:t>
      </w:r>
    </w:p>
    <w:p w:rsidR="0045336E" w:rsidRDefault="00631CAE">
      <w:pPr>
        <w:widowControl w:val="0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proofErr w:type="gramStart"/>
      <w:r>
        <w:rPr>
          <w:rFonts w:cs="Arial"/>
        </w:rPr>
        <w:t>be</w:t>
      </w:r>
      <w:proofErr w:type="gramEnd"/>
      <w:r>
        <w:rPr>
          <w:rFonts w:cs="Arial"/>
        </w:rPr>
        <w:t xml:space="preserve"> aimed at families for whom the waiting list is open;</w:t>
      </w:r>
    </w:p>
    <w:p w:rsidR="0045336E" w:rsidRDefault="00631CAE">
      <w:pPr>
        <w:widowControl w:val="0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proofErr w:type="gramStart"/>
      <w:r>
        <w:rPr>
          <w:rFonts w:cs="Arial"/>
        </w:rPr>
        <w:t>be</w:t>
      </w:r>
      <w:proofErr w:type="gramEnd"/>
      <w:r>
        <w:rPr>
          <w:rFonts w:cs="Arial"/>
        </w:rPr>
        <w:t xml:space="preserve"> presente</w:t>
      </w:r>
      <w:r>
        <w:rPr>
          <w:rFonts w:cs="Arial"/>
        </w:rPr>
        <w:t>d in the appropriate language;</w:t>
      </w:r>
    </w:p>
    <w:p w:rsidR="0045336E" w:rsidRDefault="00631CAE">
      <w:pPr>
        <w:widowControl w:val="0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proofErr w:type="gramStart"/>
      <w:r>
        <w:rPr>
          <w:rFonts w:cs="Arial"/>
        </w:rPr>
        <w:t>use</w:t>
      </w:r>
      <w:proofErr w:type="gramEnd"/>
      <w:r>
        <w:rPr>
          <w:rFonts w:cs="Arial"/>
        </w:rPr>
        <w:t xml:space="preserve"> all appropriate media;</w:t>
      </w:r>
    </w:p>
    <w:p w:rsidR="0045336E" w:rsidRDefault="00631CAE">
      <w:pPr>
        <w:widowControl w:val="0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proofErr w:type="gramStart"/>
      <w:r>
        <w:rPr>
          <w:rFonts w:cs="Arial"/>
        </w:rPr>
        <w:t>describe</w:t>
      </w:r>
      <w:proofErr w:type="gramEnd"/>
      <w:r>
        <w:rPr>
          <w:rFonts w:cs="Arial"/>
        </w:rPr>
        <w:t xml:space="preserve"> the housing opportunities available at PHA simply but accurately;</w:t>
      </w:r>
    </w:p>
    <w:p w:rsidR="0045336E" w:rsidRDefault="00631CAE">
      <w:pPr>
        <w:widowControl w:val="0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proofErr w:type="gramStart"/>
      <w:r>
        <w:rPr>
          <w:rFonts w:cs="Arial"/>
        </w:rPr>
        <w:t>contain</w:t>
      </w:r>
      <w:proofErr w:type="gramEnd"/>
      <w:r>
        <w:rPr>
          <w:rFonts w:cs="Arial"/>
        </w:rPr>
        <w:t xml:space="preserve"> both the Fair Housing Logo and Fair Housing language;</w:t>
      </w:r>
    </w:p>
    <w:p w:rsidR="0045336E" w:rsidRDefault="00631CAE">
      <w:pPr>
        <w:widowControl w:val="0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jc w:val="both"/>
        <w:rPr>
          <w:rFonts w:cs="Arial"/>
        </w:rPr>
      </w:pPr>
      <w:proofErr w:type="gramStart"/>
      <w:r>
        <w:rPr>
          <w:rFonts w:cs="Arial"/>
        </w:rPr>
        <w:t>describe</w:t>
      </w:r>
      <w:proofErr w:type="gramEnd"/>
      <w:r>
        <w:rPr>
          <w:rFonts w:cs="Arial"/>
        </w:rPr>
        <w:t xml:space="preserve"> how an interested family can get additional informat</w:t>
      </w:r>
      <w:r>
        <w:rPr>
          <w:rFonts w:cs="Arial"/>
        </w:rPr>
        <w:t>ion about PHA’s housing opportunities.</w:t>
      </w:r>
    </w:p>
    <w:p w:rsidR="0045336E" w:rsidRDefault="00631CAE"/>
    <w:sectPr w:rsidR="004533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1CAE">
      <w:r>
        <w:separator/>
      </w:r>
    </w:p>
  </w:endnote>
  <w:endnote w:type="continuationSeparator" w:id="0">
    <w:p w:rsidR="00000000" w:rsidRDefault="006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336E" w:rsidRDefault="00631CAE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Procedure on Affirmative Marketing</w:t>
    </w:r>
  </w:p>
  <w:p w:rsidR="0045336E" w:rsidRDefault="00631CAE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Page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PAGE </w:instrText>
    </w:r>
    <w:r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1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b/>
        <w:bCs/>
        <w:sz w:val="20"/>
      </w:rPr>
      <w:t xml:space="preserve"> of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NUMPAGES </w:instrText>
    </w:r>
    <w:r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</w:t>
    </w:r>
    <w:r>
      <w:rPr>
        <w:rFonts w:ascii="Arial" w:hAnsi="Arial" w:cs="Arial"/>
        <w:b/>
        <w:bCs/>
        <w:sz w:val="20"/>
      </w:rPr>
      <w:fldChar w:fldCharType="end"/>
    </w:r>
  </w:p>
  <w:p w:rsidR="0045336E" w:rsidRDefault="00631CAE">
    <w:pPr>
      <w:pStyle w:val="Footer"/>
      <w:jc w:val="center"/>
      <w:rPr>
        <w:rFonts w:ascii="Arial" w:hAnsi="Arial" w:cs="Arial"/>
        <w:bCs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1CAE">
      <w:r>
        <w:separator/>
      </w:r>
    </w:p>
  </w:footnote>
  <w:footnote w:type="continuationSeparator" w:id="0">
    <w:p w:rsidR="00000000" w:rsidRDefault="00631CAE">
      <w:r>
        <w:continuationSeparator/>
      </w:r>
    </w:p>
  </w:footnote>
  <w:footnote w:id="1">
    <w:p w:rsidR="0045336E" w:rsidRDefault="00631C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</w:rPr>
        <w:t>24 CFR §109.30(a)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336E" w:rsidRDefault="00631CAE">
    <w:pPr>
      <w:pStyle w:val="Header"/>
      <w:jc w:val="right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3.4pt;width:45pt;height:43.5pt;z-index:251657728;visibility:visible;mso-wrap-edited:f">
          <v:imagedata r:id="rId1" o:title=""/>
          <w10:wrap type="topAndBottom"/>
        </v:shape>
        <o:OLEObject Type="Embed" ProgID="Word.Picture.8" ShapeID="_x0000_s1025" DrawAspect="Content" ObjectID="_1367895545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53C"/>
    <w:multiLevelType w:val="hybridMultilevel"/>
    <w:tmpl w:val="18B4F5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B0A0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E445E"/>
    <w:multiLevelType w:val="hybridMultilevel"/>
    <w:tmpl w:val="7022313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1703D1"/>
    <w:multiLevelType w:val="hybridMultilevel"/>
    <w:tmpl w:val="3F6EEB1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A0A92">
      <w:start w:val="2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943866"/>
    <w:multiLevelType w:val="hybridMultilevel"/>
    <w:tmpl w:val="A7168E8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0E05F2">
      <w:start w:val="4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9F03DF9"/>
    <w:multiLevelType w:val="hybridMultilevel"/>
    <w:tmpl w:val="6BDA1D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6E"/>
    <w:rsid w:val="006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tabs>
        <w:tab w:val="left" w:pos="360"/>
      </w:tabs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tabs>
        <w:tab w:val="left" w:pos="360"/>
      </w:tabs>
      <w:spacing w:after="160"/>
      <w:jc w:val="both"/>
    </w:pPr>
    <w:rPr>
      <w:rFonts w:cs="Arial"/>
    </w:rPr>
  </w:style>
  <w:style w:type="paragraph" w:styleId="BodyText2">
    <w:name w:val="Body Text 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00"/>
      <w:ind w:left="14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00"/>
      <w:ind w:left="1440" w:hanging="720"/>
      <w:jc w:val="both"/>
    </w:pPr>
    <w:rPr>
      <w:rFonts w:ascii="Garamond" w:hAnsi="Garamond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tabs>
        <w:tab w:val="left" w:pos="360"/>
      </w:tabs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tabs>
        <w:tab w:val="left" w:pos="360"/>
      </w:tabs>
      <w:spacing w:after="160"/>
      <w:jc w:val="both"/>
    </w:pPr>
    <w:rPr>
      <w:rFonts w:cs="Arial"/>
    </w:rPr>
  </w:style>
  <w:style w:type="paragraph" w:styleId="BodyText2">
    <w:name w:val="Body Text 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00"/>
      <w:ind w:left="14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00"/>
      <w:ind w:left="1440" w:hanging="720"/>
      <w:jc w:val="both"/>
    </w:pPr>
    <w:rPr>
      <w:rFonts w:ascii="Garamond" w:hAnsi="Garamond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 For discussion only, no further distribution</vt:lpstr>
    </vt:vector>
  </TitlesOfParts>
  <Company>Abt Associates Inc.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 For discussion only, no further distribution</dc:title>
  <dc:subject/>
  <dc:creator>Abt Associates Inc.</dc:creator>
  <cp:keywords/>
  <dc:description/>
  <cp:lastModifiedBy>linda bryant</cp:lastModifiedBy>
  <cp:revision>2</cp:revision>
  <cp:lastPrinted>2006-12-07T16:33:00Z</cp:lastPrinted>
  <dcterms:created xsi:type="dcterms:W3CDTF">2015-05-25T11:13:00Z</dcterms:created>
  <dcterms:modified xsi:type="dcterms:W3CDTF">2015-05-25T11:13:00Z</dcterms:modified>
</cp:coreProperties>
</file>