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4407">
      <w:pPr>
        <w:pStyle w:val="Title"/>
      </w:pPr>
      <w:bookmarkStart w:id="0" w:name="_GoBack"/>
      <w:bookmarkEnd w:id="0"/>
      <w:r>
        <w:t>Procedure on Informal Hearings</w:t>
      </w:r>
    </w:p>
    <w:p w:rsidR="00000000" w:rsidRDefault="003D4407">
      <w:pPr>
        <w:jc w:val="both"/>
        <w:rPr>
          <w:rFonts w:ascii="Times New Roman" w:hAnsi="Times New Roman"/>
          <w:sz w:val="24"/>
        </w:rPr>
      </w:pPr>
    </w:p>
    <w:p w:rsidR="00000000" w:rsidRDefault="003D44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section describes when an informal hearing may be requested by a applicant and the informal hearing process that will be followed by PHA staff.</w:t>
      </w:r>
    </w:p>
    <w:p w:rsidR="00000000" w:rsidRDefault="003D4407">
      <w:pPr>
        <w:jc w:val="both"/>
        <w:rPr>
          <w:rFonts w:ascii="Times New Roman" w:hAnsi="Times New Roman"/>
          <w:sz w:val="24"/>
        </w:rPr>
      </w:pPr>
    </w:p>
    <w:p w:rsidR="00000000" w:rsidRDefault="003D44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1.00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Informal Hearings May be Requested for the Following</w:t>
      </w:r>
    </w:p>
    <w:p w:rsidR="00000000" w:rsidRDefault="003D4407">
      <w:pPr>
        <w:jc w:val="both"/>
        <w:rPr>
          <w:rFonts w:ascii="Times New Roman" w:hAnsi="Times New Roman"/>
          <w:sz w:val="24"/>
        </w:rPr>
      </w:pPr>
    </w:p>
    <w:p w:rsidR="00000000" w:rsidRDefault="003D44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Certain determi</w:t>
      </w:r>
      <w:r>
        <w:rPr>
          <w:rFonts w:ascii="Times New Roman" w:hAnsi="Times New Roman"/>
          <w:sz w:val="24"/>
        </w:rPr>
        <w:t>nations will be made by PHA staff based upon:</w:t>
      </w:r>
    </w:p>
    <w:p w:rsidR="00000000" w:rsidRDefault="003D4407">
      <w:pPr>
        <w:jc w:val="both"/>
        <w:rPr>
          <w:rFonts w:ascii="Times New Roman" w:hAnsi="Times New Roman"/>
          <w:sz w:val="24"/>
        </w:rPr>
      </w:pPr>
    </w:p>
    <w:p w:rsidR="00000000" w:rsidRDefault="003D4407">
      <w:pPr>
        <w:numPr>
          <w:ilvl w:val="0"/>
          <w:numId w:val="20"/>
        </w:numPr>
        <w:tabs>
          <w:tab w:val="clear" w:pos="360"/>
          <w:tab w:val="num" w:pos="2160"/>
        </w:tabs>
        <w:ind w:left="216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of documents (such as verifications of eligibility);</w:t>
      </w:r>
    </w:p>
    <w:p w:rsidR="00000000" w:rsidRDefault="003D4407">
      <w:pPr>
        <w:numPr>
          <w:ilvl w:val="0"/>
          <w:numId w:val="21"/>
        </w:numPr>
        <w:tabs>
          <w:tab w:val="clear" w:pos="360"/>
          <w:tab w:val="num" w:pos="2160"/>
        </w:tabs>
        <w:ind w:left="216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receipt of mail (such as rent checks);</w:t>
      </w:r>
    </w:p>
    <w:p w:rsidR="00000000" w:rsidRDefault="003D4407">
      <w:pPr>
        <w:numPr>
          <w:ilvl w:val="0"/>
          <w:numId w:val="22"/>
        </w:numPr>
        <w:tabs>
          <w:tab w:val="clear" w:pos="360"/>
          <w:tab w:val="num" w:pos="2160"/>
        </w:tabs>
        <w:ind w:left="216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lack of a response (such as not providing information regarding an income increase).</w:t>
      </w:r>
    </w:p>
    <w:p w:rsidR="00000000" w:rsidRDefault="003D4407">
      <w:pPr>
        <w:jc w:val="both"/>
        <w:rPr>
          <w:rFonts w:ascii="Times New Roman" w:hAnsi="Times New Roman"/>
          <w:sz w:val="24"/>
        </w:rPr>
      </w:pPr>
    </w:p>
    <w:p w:rsidR="00000000" w:rsidRDefault="003D44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certain cases applica</w:t>
      </w:r>
      <w:r>
        <w:rPr>
          <w:rFonts w:ascii="Times New Roman" w:hAnsi="Times New Roman"/>
          <w:sz w:val="24"/>
        </w:rPr>
        <w:t>nts may believe that they have evidence, or an explanation or were affected by mitigating circumstances which, if made available to PHA staff could change the determination.</w:t>
      </w:r>
    </w:p>
    <w:p w:rsidR="00000000" w:rsidRDefault="003D4407">
      <w:pPr>
        <w:jc w:val="both"/>
        <w:rPr>
          <w:rFonts w:ascii="Times New Roman" w:hAnsi="Times New Roman"/>
          <w:sz w:val="24"/>
        </w:rPr>
      </w:pPr>
    </w:p>
    <w:p w:rsidR="00000000" w:rsidRDefault="003D4407">
      <w:pPr>
        <w:pStyle w:val="BodyText"/>
        <w:jc w:val="both"/>
      </w:pPr>
      <w:r>
        <w:t>The tenant or applicant may request an informal hearing to discuss or present evi</w:t>
      </w:r>
      <w:r>
        <w:t>dence regarding any of the following events:</w:t>
      </w:r>
    </w:p>
    <w:p w:rsidR="00000000" w:rsidRDefault="003D4407">
      <w:pPr>
        <w:ind w:left="1440"/>
        <w:jc w:val="both"/>
        <w:rPr>
          <w:rFonts w:ascii="Times New Roman" w:hAnsi="Times New Roman"/>
          <w:sz w:val="24"/>
        </w:rPr>
      </w:pPr>
    </w:p>
    <w:p w:rsidR="00000000" w:rsidRDefault="003D4407">
      <w:pPr>
        <w:numPr>
          <w:ilvl w:val="0"/>
          <w:numId w:val="17"/>
        </w:numPr>
        <w:tabs>
          <w:tab w:val="clear" w:pos="360"/>
          <w:tab w:val="num" w:pos="2160"/>
        </w:tabs>
        <w:ind w:left="216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applicant has been rejected as ineligible for assistance;</w:t>
      </w:r>
    </w:p>
    <w:p w:rsidR="00000000" w:rsidRDefault="003D4407">
      <w:pPr>
        <w:numPr>
          <w:ilvl w:val="0"/>
          <w:numId w:val="18"/>
        </w:numPr>
        <w:tabs>
          <w:tab w:val="clear" w:pos="360"/>
          <w:tab w:val="num" w:pos="2160"/>
        </w:tabs>
        <w:ind w:left="216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applicant has been rejected because they have failed to meet the PHA’s screening requirements.</w:t>
      </w:r>
    </w:p>
    <w:p w:rsidR="00000000" w:rsidRDefault="003D4407">
      <w:pPr>
        <w:jc w:val="both"/>
        <w:rPr>
          <w:rFonts w:ascii="Times New Roman" w:hAnsi="Times New Roman"/>
          <w:sz w:val="24"/>
        </w:rPr>
      </w:pPr>
    </w:p>
    <w:p w:rsidR="00000000" w:rsidRDefault="003D44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1.01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Notice to the Tenants</w:t>
      </w:r>
    </w:p>
    <w:p w:rsidR="00000000" w:rsidRDefault="003D4407">
      <w:pPr>
        <w:jc w:val="both"/>
        <w:rPr>
          <w:rFonts w:ascii="Times New Roman" w:hAnsi="Times New Roman"/>
          <w:sz w:val="24"/>
        </w:rPr>
      </w:pPr>
    </w:p>
    <w:p w:rsidR="00000000" w:rsidRDefault="003D44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PHA staff is taki</w:t>
      </w:r>
      <w:r>
        <w:rPr>
          <w:rFonts w:ascii="Times New Roman" w:hAnsi="Times New Roman"/>
          <w:sz w:val="24"/>
        </w:rPr>
        <w:t>ng any of the actions mentioned above, they will notify the applicant of their right to an informal hearing. The notification will be in writing and will include the following information:</w:t>
      </w:r>
    </w:p>
    <w:p w:rsidR="00000000" w:rsidRDefault="003D4407">
      <w:pPr>
        <w:jc w:val="both"/>
        <w:rPr>
          <w:rFonts w:ascii="Times New Roman" w:hAnsi="Times New Roman"/>
          <w:sz w:val="24"/>
        </w:rPr>
      </w:pPr>
    </w:p>
    <w:p w:rsidR="00000000" w:rsidRDefault="003D4407">
      <w:pPr>
        <w:numPr>
          <w:ilvl w:val="0"/>
          <w:numId w:val="13"/>
        </w:numPr>
        <w:tabs>
          <w:tab w:val="clear" w:pos="360"/>
          <w:tab w:val="num" w:pos="2160"/>
        </w:tabs>
        <w:ind w:left="216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specific grounds for the determination;</w:t>
      </w:r>
    </w:p>
    <w:p w:rsidR="00000000" w:rsidRDefault="003D4407">
      <w:pPr>
        <w:numPr>
          <w:ilvl w:val="0"/>
          <w:numId w:val="13"/>
        </w:numPr>
        <w:tabs>
          <w:tab w:val="clear" w:pos="360"/>
          <w:tab w:val="num" w:pos="1440"/>
          <w:tab w:val="num" w:pos="2160"/>
        </w:tabs>
        <w:ind w:left="216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applicant has 10 d</w:t>
      </w:r>
      <w:r>
        <w:rPr>
          <w:rFonts w:ascii="Times New Roman" w:hAnsi="Times New Roman"/>
          <w:sz w:val="24"/>
        </w:rPr>
        <w:t>ays to request a hearing in writing to discuss the determination;</w:t>
      </w:r>
    </w:p>
    <w:p w:rsidR="00000000" w:rsidRDefault="003D4407">
      <w:pPr>
        <w:numPr>
          <w:ilvl w:val="0"/>
          <w:numId w:val="13"/>
        </w:numPr>
        <w:tabs>
          <w:tab w:val="clear" w:pos="360"/>
          <w:tab w:val="num" w:pos="2160"/>
        </w:tabs>
        <w:ind w:left="216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the applicant is an individual with handicaps, they may inform PHA staff of this fact and request a reasonable accommodation in a nonessential policy or practice in order to gain equal ac</w:t>
      </w:r>
      <w:r>
        <w:rPr>
          <w:rFonts w:ascii="Times New Roman" w:hAnsi="Times New Roman"/>
          <w:sz w:val="24"/>
        </w:rPr>
        <w:t>cess.</w:t>
      </w:r>
    </w:p>
    <w:p w:rsidR="00000000" w:rsidRDefault="003D4407">
      <w:pPr>
        <w:jc w:val="both"/>
        <w:rPr>
          <w:rFonts w:ascii="Times New Roman" w:hAnsi="Times New Roman"/>
          <w:sz w:val="24"/>
        </w:rPr>
      </w:pPr>
    </w:p>
    <w:p w:rsidR="00000000" w:rsidRDefault="003D4407">
      <w:pPr>
        <w:jc w:val="both"/>
        <w:rPr>
          <w:rFonts w:ascii="Times New Roman" w:hAnsi="Times New Roman"/>
          <w:sz w:val="24"/>
        </w:rPr>
      </w:pPr>
    </w:p>
    <w:p w:rsidR="00000000" w:rsidRDefault="003D44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10 days during which the tenant/applicant may request an informal hearing begins on the day a determination notice is hand delivered to the tenant/applicant or the day after it is mailed. The 10 days includes only business days.</w:t>
      </w:r>
    </w:p>
    <w:p w:rsidR="00000000" w:rsidRDefault="003D4407">
      <w:pPr>
        <w:jc w:val="both"/>
        <w:rPr>
          <w:rFonts w:ascii="Times New Roman" w:hAnsi="Times New Roman"/>
          <w:sz w:val="24"/>
        </w:rPr>
      </w:pPr>
    </w:p>
    <w:p w:rsidR="00000000" w:rsidRDefault="003D44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1.02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The Tena</w:t>
      </w:r>
      <w:r>
        <w:rPr>
          <w:rFonts w:ascii="Times New Roman" w:hAnsi="Times New Roman"/>
          <w:b/>
          <w:sz w:val="24"/>
          <w:u w:val="single"/>
        </w:rPr>
        <w:t>nt/Applicant Response</w:t>
      </w:r>
    </w:p>
    <w:p w:rsidR="00000000" w:rsidRDefault="003D4407">
      <w:pPr>
        <w:jc w:val="both"/>
        <w:rPr>
          <w:rFonts w:ascii="Times New Roman" w:hAnsi="Times New Roman"/>
          <w:sz w:val="24"/>
        </w:rPr>
      </w:pPr>
    </w:p>
    <w:p w:rsidR="00000000" w:rsidRDefault="003D44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applicant request for an informal hearing must be received in writing and must be received within 10 business days or it will not be considered by PHA staff.</w:t>
      </w:r>
    </w:p>
    <w:p w:rsidR="00000000" w:rsidRDefault="003D4407">
      <w:pPr>
        <w:jc w:val="both"/>
        <w:rPr>
          <w:rFonts w:ascii="Times New Roman" w:hAnsi="Times New Roman"/>
          <w:sz w:val="24"/>
        </w:rPr>
      </w:pPr>
    </w:p>
    <w:p w:rsidR="00000000" w:rsidRDefault="003D44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1.03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The Informal Hearing</w:t>
      </w:r>
    </w:p>
    <w:p w:rsidR="00000000" w:rsidRDefault="003D4407">
      <w:pPr>
        <w:jc w:val="both"/>
        <w:rPr>
          <w:rFonts w:ascii="Times New Roman" w:hAnsi="Times New Roman"/>
          <w:sz w:val="24"/>
        </w:rPr>
      </w:pPr>
    </w:p>
    <w:p w:rsidR="00000000" w:rsidRDefault="003D44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Upon receipt of a proper request for an inf</w:t>
      </w:r>
      <w:r>
        <w:rPr>
          <w:rFonts w:ascii="Times New Roman" w:hAnsi="Times New Roman"/>
          <w:sz w:val="24"/>
        </w:rPr>
        <w:t>ormal hearing, PHA staff will schedule the hearing within 2 weeks and will notify the tenant/applicant of the following:</w:t>
      </w:r>
    </w:p>
    <w:p w:rsidR="00000000" w:rsidRDefault="003D4407">
      <w:pPr>
        <w:jc w:val="both"/>
        <w:rPr>
          <w:rFonts w:ascii="Times New Roman" w:hAnsi="Times New Roman"/>
          <w:sz w:val="24"/>
        </w:rPr>
      </w:pPr>
    </w:p>
    <w:p w:rsidR="00000000" w:rsidRDefault="003D4407">
      <w:pPr>
        <w:numPr>
          <w:ilvl w:val="0"/>
          <w:numId w:val="1"/>
        </w:numPr>
        <w:tabs>
          <w:tab w:val="clear" w:pos="360"/>
          <w:tab w:val="num" w:pos="2160"/>
        </w:tabs>
        <w:ind w:left="216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time and location of the meeting;</w:t>
      </w:r>
    </w:p>
    <w:p w:rsidR="00000000" w:rsidRDefault="003D4407">
      <w:pPr>
        <w:numPr>
          <w:ilvl w:val="0"/>
          <w:numId w:val="2"/>
        </w:numPr>
        <w:tabs>
          <w:tab w:val="clear" w:pos="360"/>
          <w:tab w:val="num" w:pos="2160"/>
        </w:tabs>
        <w:ind w:left="216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PHA staff will reasonably try to accommodate schedule conflicts;</w:t>
      </w:r>
    </w:p>
    <w:p w:rsidR="00000000" w:rsidRDefault="003D4407">
      <w:pPr>
        <w:numPr>
          <w:ilvl w:val="0"/>
          <w:numId w:val="3"/>
        </w:numPr>
        <w:tabs>
          <w:tab w:val="clear" w:pos="360"/>
          <w:tab w:val="left" w:pos="2160"/>
        </w:tabs>
        <w:ind w:left="216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applicant is not allowed le</w:t>
      </w:r>
      <w:r>
        <w:rPr>
          <w:rFonts w:ascii="Times New Roman" w:hAnsi="Times New Roman"/>
          <w:sz w:val="24"/>
        </w:rPr>
        <w:t>gal representation at an informal hearing;</w:t>
      </w:r>
    </w:p>
    <w:p w:rsidR="00000000" w:rsidRDefault="003D4407">
      <w:pPr>
        <w:numPr>
          <w:ilvl w:val="0"/>
          <w:numId w:val="4"/>
        </w:numPr>
        <w:tabs>
          <w:tab w:val="clear" w:pos="360"/>
          <w:tab w:val="num" w:pos="2160"/>
        </w:tabs>
        <w:ind w:left="18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relevant evidence and documents should be brought to the meeting;</w:t>
      </w:r>
    </w:p>
    <w:p w:rsidR="00000000" w:rsidRDefault="003D4407">
      <w:pPr>
        <w:numPr>
          <w:ilvl w:val="0"/>
          <w:numId w:val="5"/>
        </w:numPr>
        <w:tabs>
          <w:tab w:val="clear" w:pos="360"/>
          <w:tab w:val="num" w:pos="2160"/>
        </w:tabs>
        <w:ind w:left="216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the applicant is a person with disabilities, they may bring a representative to assist them in fully participating in the hearing process;</w:t>
      </w:r>
    </w:p>
    <w:p w:rsidR="00000000" w:rsidRDefault="003D4407">
      <w:pPr>
        <w:pStyle w:val="BodyTextIndent"/>
        <w:numPr>
          <w:ilvl w:val="0"/>
          <w:numId w:val="6"/>
        </w:numPr>
        <w:tabs>
          <w:tab w:val="clear" w:pos="360"/>
          <w:tab w:val="num" w:pos="2160"/>
        </w:tabs>
        <w:ind w:left="2160" w:hanging="720"/>
        <w:jc w:val="both"/>
      </w:pPr>
      <w:r>
        <w:t>i</w:t>
      </w:r>
      <w:r>
        <w:t>f no attempt is made to reschedule and the tenant/applicant does not appear as scheduled, a finding against the tenant/applicant will be made.</w:t>
      </w:r>
    </w:p>
    <w:p w:rsidR="00000000" w:rsidRDefault="003D4407">
      <w:pPr>
        <w:jc w:val="both"/>
        <w:rPr>
          <w:rFonts w:ascii="Times New Roman" w:hAnsi="Times New Roman"/>
          <w:sz w:val="24"/>
        </w:rPr>
      </w:pPr>
    </w:p>
    <w:p w:rsidR="00000000" w:rsidRDefault="003D44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PHA is responsible to designate the hearing officer. It may be:</w:t>
      </w:r>
    </w:p>
    <w:p w:rsidR="00000000" w:rsidRDefault="003D4407">
      <w:pPr>
        <w:jc w:val="both"/>
        <w:rPr>
          <w:rFonts w:ascii="Times New Roman" w:hAnsi="Times New Roman"/>
          <w:sz w:val="24"/>
        </w:rPr>
      </w:pPr>
    </w:p>
    <w:p w:rsidR="00000000" w:rsidRDefault="003D4407">
      <w:pPr>
        <w:numPr>
          <w:ilvl w:val="0"/>
          <w:numId w:val="7"/>
        </w:numPr>
        <w:tabs>
          <w:tab w:val="clear" w:pos="360"/>
          <w:tab w:val="num" w:pos="2160"/>
        </w:tabs>
        <w:ind w:left="216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employee who made the original determinatio</w:t>
      </w:r>
      <w:r>
        <w:rPr>
          <w:rFonts w:ascii="Times New Roman" w:hAnsi="Times New Roman"/>
          <w:sz w:val="24"/>
        </w:rPr>
        <w:t>n;</w:t>
      </w:r>
    </w:p>
    <w:p w:rsidR="00000000" w:rsidRDefault="003D4407">
      <w:pPr>
        <w:numPr>
          <w:ilvl w:val="0"/>
          <w:numId w:val="8"/>
        </w:numPr>
        <w:tabs>
          <w:tab w:val="clear" w:pos="360"/>
          <w:tab w:val="num" w:pos="2160"/>
        </w:tabs>
        <w:ind w:left="216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subordinate of the employee who made the original determination; or</w:t>
      </w:r>
    </w:p>
    <w:p w:rsidR="00000000" w:rsidRDefault="003D4407">
      <w:pPr>
        <w:numPr>
          <w:ilvl w:val="0"/>
          <w:numId w:val="9"/>
        </w:numPr>
        <w:tabs>
          <w:tab w:val="clear" w:pos="360"/>
          <w:tab w:val="num" w:pos="2160"/>
        </w:tabs>
        <w:ind w:left="186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any other individual as determined by PHA.</w:t>
      </w:r>
    </w:p>
    <w:p w:rsidR="00000000" w:rsidRDefault="003D4407">
      <w:pPr>
        <w:ind w:left="1440" w:firstLine="1500"/>
        <w:jc w:val="both"/>
        <w:rPr>
          <w:rFonts w:ascii="Times New Roman" w:hAnsi="Times New Roman"/>
          <w:sz w:val="24"/>
        </w:rPr>
      </w:pPr>
    </w:p>
    <w:p w:rsidR="00000000" w:rsidRDefault="003D44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 the informal hearing;</w:t>
      </w:r>
    </w:p>
    <w:p w:rsidR="00000000" w:rsidRDefault="003D4407">
      <w:pPr>
        <w:jc w:val="both"/>
        <w:rPr>
          <w:rFonts w:ascii="Times New Roman" w:hAnsi="Times New Roman"/>
          <w:sz w:val="24"/>
        </w:rPr>
      </w:pPr>
    </w:p>
    <w:p w:rsidR="00000000" w:rsidRDefault="003D4407">
      <w:pPr>
        <w:numPr>
          <w:ilvl w:val="0"/>
          <w:numId w:val="10"/>
        </w:numPr>
        <w:tabs>
          <w:tab w:val="clear" w:pos="360"/>
          <w:tab w:val="num" w:pos="2160"/>
        </w:tabs>
        <w:ind w:left="216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documents that resulted in the determination will be made available for review by the applicant;</w:t>
      </w:r>
    </w:p>
    <w:p w:rsidR="00000000" w:rsidRDefault="003D4407">
      <w:pPr>
        <w:numPr>
          <w:ilvl w:val="0"/>
          <w:numId w:val="11"/>
        </w:numPr>
        <w:tabs>
          <w:tab w:val="clear" w:pos="360"/>
          <w:tab w:val="num" w:pos="2160"/>
          <w:tab w:val="num" w:pos="2250"/>
        </w:tabs>
        <w:ind w:left="216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applican</w:t>
      </w:r>
      <w:r>
        <w:rPr>
          <w:rFonts w:ascii="Times New Roman" w:hAnsi="Times New Roman"/>
          <w:sz w:val="24"/>
        </w:rPr>
        <w:t>t will be allowed to present any documented evidence which may contradict the documents PHA staff has;</w:t>
      </w:r>
    </w:p>
    <w:p w:rsidR="00000000" w:rsidRDefault="003D4407">
      <w:pPr>
        <w:numPr>
          <w:ilvl w:val="0"/>
          <w:numId w:val="12"/>
        </w:numPr>
        <w:tabs>
          <w:tab w:val="clear" w:pos="360"/>
          <w:tab w:val="num" w:pos="2160"/>
        </w:tabs>
        <w:ind w:left="216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applicant will be allowed to present any mitigating circumstances in an attempt to change the determination made by PHA staff.</w:t>
      </w:r>
    </w:p>
    <w:p w:rsidR="00000000" w:rsidRDefault="003D4407">
      <w:pPr>
        <w:jc w:val="both"/>
        <w:rPr>
          <w:rFonts w:ascii="Times New Roman" w:hAnsi="Times New Roman"/>
          <w:sz w:val="24"/>
        </w:rPr>
      </w:pPr>
    </w:p>
    <w:p w:rsidR="00000000" w:rsidRDefault="003D44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1.04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Informal Hearing</w:t>
      </w:r>
      <w:r>
        <w:rPr>
          <w:rFonts w:ascii="Times New Roman" w:hAnsi="Times New Roman"/>
          <w:b/>
          <w:sz w:val="24"/>
          <w:u w:val="single"/>
        </w:rPr>
        <w:t xml:space="preserve"> Follow Up</w:t>
      </w:r>
    </w:p>
    <w:p w:rsidR="00000000" w:rsidRDefault="003D4407">
      <w:pPr>
        <w:jc w:val="both"/>
        <w:rPr>
          <w:rFonts w:ascii="Times New Roman" w:hAnsi="Times New Roman"/>
          <w:sz w:val="24"/>
        </w:rPr>
      </w:pPr>
    </w:p>
    <w:p w:rsidR="00000000" w:rsidRDefault="003D44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PHA staff will carefully consider all evidence and explanations presented by the tenant/applicant and will make a final determination that the original determination was correct or based on explanations received will change the original determi</w:t>
      </w:r>
      <w:r>
        <w:rPr>
          <w:rFonts w:ascii="Times New Roman" w:hAnsi="Times New Roman"/>
          <w:sz w:val="24"/>
        </w:rPr>
        <w:t>nation. This final decision will be communicated to the tenant/applicant within 2 weeks of the date of the informal hearing. This notice must be hand delivered or mailed to the applicant in writing.</w:t>
      </w:r>
    </w:p>
    <w:p w:rsidR="00000000" w:rsidRDefault="003D4407">
      <w:pPr>
        <w:jc w:val="both"/>
        <w:rPr>
          <w:rFonts w:ascii="Times New Roman" w:hAnsi="Times New Roman"/>
          <w:sz w:val="24"/>
        </w:rPr>
      </w:pPr>
    </w:p>
    <w:p w:rsidR="00000000" w:rsidRDefault="003D44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1.05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Filing Requirements</w:t>
      </w:r>
    </w:p>
    <w:p w:rsidR="00000000" w:rsidRDefault="003D4407">
      <w:pPr>
        <w:jc w:val="both"/>
        <w:rPr>
          <w:rFonts w:ascii="Times New Roman" w:hAnsi="Times New Roman"/>
          <w:sz w:val="24"/>
        </w:rPr>
      </w:pPr>
    </w:p>
    <w:p w:rsidR="00000000" w:rsidRDefault="003D44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documents related to an i</w:t>
      </w:r>
      <w:r>
        <w:rPr>
          <w:rFonts w:ascii="Times New Roman" w:hAnsi="Times New Roman"/>
          <w:sz w:val="24"/>
        </w:rPr>
        <w:t>nformal hearing must be kept on file for 3 years. This includes:</w:t>
      </w:r>
    </w:p>
    <w:p w:rsidR="00000000" w:rsidRDefault="003D4407">
      <w:pPr>
        <w:jc w:val="both"/>
        <w:rPr>
          <w:rFonts w:ascii="Times New Roman" w:hAnsi="Times New Roman"/>
          <w:sz w:val="24"/>
        </w:rPr>
      </w:pPr>
    </w:p>
    <w:p w:rsidR="00000000" w:rsidRDefault="003D4407">
      <w:pPr>
        <w:numPr>
          <w:ilvl w:val="0"/>
          <w:numId w:val="23"/>
        </w:numPr>
        <w:tabs>
          <w:tab w:val="clear" w:pos="360"/>
          <w:tab w:val="num" w:pos="2160"/>
        </w:tabs>
        <w:ind w:left="216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documents and evidence which resulted in the original determination;</w:t>
      </w:r>
    </w:p>
    <w:p w:rsidR="00000000" w:rsidRDefault="003D4407">
      <w:pPr>
        <w:numPr>
          <w:ilvl w:val="0"/>
          <w:numId w:val="24"/>
        </w:numPr>
        <w:tabs>
          <w:tab w:val="clear" w:pos="360"/>
          <w:tab w:val="num" w:pos="2160"/>
        </w:tabs>
        <w:ind w:left="216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copy of the notice of the original determination;</w:t>
      </w:r>
    </w:p>
    <w:p w:rsidR="00000000" w:rsidRDefault="003D4407">
      <w:pPr>
        <w:numPr>
          <w:ilvl w:val="0"/>
          <w:numId w:val="25"/>
        </w:numPr>
        <w:tabs>
          <w:tab w:val="clear" w:pos="360"/>
          <w:tab w:val="num" w:pos="2160"/>
        </w:tabs>
        <w:ind w:left="216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copy of the applicant’s request for an informal hearing;</w:t>
      </w:r>
    </w:p>
    <w:p w:rsidR="00000000" w:rsidRDefault="003D4407">
      <w:pPr>
        <w:numPr>
          <w:ilvl w:val="0"/>
          <w:numId w:val="26"/>
        </w:numPr>
        <w:tabs>
          <w:tab w:val="clear" w:pos="360"/>
          <w:tab w:val="num" w:pos="2160"/>
        </w:tabs>
        <w:ind w:left="216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copy</w:t>
      </w:r>
      <w:r>
        <w:rPr>
          <w:rFonts w:ascii="Times New Roman" w:hAnsi="Times New Roman"/>
          <w:sz w:val="24"/>
        </w:rPr>
        <w:t xml:space="preserve"> of the letter scheduling the hearing;</w:t>
      </w:r>
    </w:p>
    <w:p w:rsidR="00000000" w:rsidRDefault="003D4407">
      <w:pPr>
        <w:numPr>
          <w:ilvl w:val="0"/>
          <w:numId w:val="27"/>
        </w:numPr>
        <w:tabs>
          <w:tab w:val="clear" w:pos="360"/>
          <w:tab w:val="num" w:pos="2160"/>
        </w:tabs>
        <w:ind w:left="216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copies of all evidence provided at the hearing;</w:t>
      </w:r>
    </w:p>
    <w:p w:rsidR="00000000" w:rsidRDefault="003D4407">
      <w:pPr>
        <w:numPr>
          <w:ilvl w:val="0"/>
          <w:numId w:val="28"/>
        </w:numPr>
        <w:tabs>
          <w:tab w:val="clear" w:pos="360"/>
          <w:tab w:val="num" w:pos="2160"/>
        </w:tabs>
        <w:ind w:left="216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written summary of explanations provided at the hearing;</w:t>
      </w:r>
    </w:p>
    <w:p w:rsidR="00000000" w:rsidRDefault="003D4407">
      <w:pPr>
        <w:numPr>
          <w:ilvl w:val="0"/>
          <w:numId w:val="29"/>
        </w:numPr>
        <w:tabs>
          <w:tab w:val="clear" w:pos="360"/>
          <w:tab w:val="num" w:pos="2160"/>
        </w:tabs>
        <w:ind w:left="216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copy of the final determination letter to the applicant.</w:t>
      </w:r>
    </w:p>
    <w:p w:rsidR="00000000" w:rsidRDefault="003D4407">
      <w:pPr>
        <w:ind w:left="1440" w:hanging="1440"/>
        <w:jc w:val="both"/>
        <w:rPr>
          <w:rFonts w:ascii="Times New Roman" w:hAnsi="Times New Roman"/>
          <w:sz w:val="24"/>
        </w:rPr>
      </w:pPr>
    </w:p>
    <w:sectPr w:rsidR="00000000">
      <w:footerReference w:type="default" r:id="rId8"/>
      <w:type w:val="continuous"/>
      <w:pgSz w:w="12240" w:h="15840"/>
      <w:pgMar w:top="1440" w:right="1440" w:bottom="1440" w:left="1440" w:header="720" w:footer="129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4407">
      <w:r>
        <w:separator/>
      </w:r>
    </w:p>
  </w:endnote>
  <w:endnote w:type="continuationSeparator" w:id="0">
    <w:p w:rsidR="00000000" w:rsidRDefault="003D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D4407">
    <w:pPr>
      <w:pStyle w:val="Footer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Abt Associates Informal Hearing Procedure, Page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</w:instrText>
    </w:r>
    <w:r>
      <w:rPr>
        <w:rStyle w:val="PageNumber"/>
        <w:b/>
      </w:rPr>
      <w:instrText xml:space="preserve">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3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4407">
      <w:r>
        <w:separator/>
      </w:r>
    </w:p>
  </w:footnote>
  <w:footnote w:type="continuationSeparator" w:id="0">
    <w:p w:rsidR="00000000" w:rsidRDefault="003D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C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8716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5322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482E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9D2A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E856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6373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6658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7F25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D756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7323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D740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63E2E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0B4E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97C79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4479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F5155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0C210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0603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114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CF79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9FA2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F7D0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52D35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EB72D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03606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2C25C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B7C15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E391A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2"/>
  </w:num>
  <w:num w:numId="5">
    <w:abstractNumId w:val="16"/>
  </w:num>
  <w:num w:numId="6">
    <w:abstractNumId w:val="10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27"/>
  </w:num>
  <w:num w:numId="13">
    <w:abstractNumId w:val="15"/>
  </w:num>
  <w:num w:numId="14">
    <w:abstractNumId w:val="17"/>
  </w:num>
  <w:num w:numId="15">
    <w:abstractNumId w:val="25"/>
  </w:num>
  <w:num w:numId="16">
    <w:abstractNumId w:val="18"/>
  </w:num>
  <w:num w:numId="17">
    <w:abstractNumId w:val="28"/>
  </w:num>
  <w:num w:numId="18">
    <w:abstractNumId w:val="26"/>
  </w:num>
  <w:num w:numId="19">
    <w:abstractNumId w:val="9"/>
  </w:num>
  <w:num w:numId="20">
    <w:abstractNumId w:val="19"/>
  </w:num>
  <w:num w:numId="21">
    <w:abstractNumId w:val="12"/>
  </w:num>
  <w:num w:numId="22">
    <w:abstractNumId w:val="22"/>
  </w:num>
  <w:num w:numId="23">
    <w:abstractNumId w:val="24"/>
  </w:num>
  <w:num w:numId="24">
    <w:abstractNumId w:val="6"/>
  </w:num>
  <w:num w:numId="25">
    <w:abstractNumId w:val="7"/>
  </w:num>
  <w:num w:numId="26">
    <w:abstractNumId w:val="14"/>
  </w:num>
  <w:num w:numId="27">
    <w:abstractNumId w:val="21"/>
  </w:num>
  <w:num w:numId="28">
    <w:abstractNumId w:val="2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07"/>
    <w:rsid w:val="003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Times New Roman" w:hAnsi="Times New Roman"/>
      <w:sz w:val="24"/>
    </w:rPr>
  </w:style>
  <w:style w:type="paragraph" w:styleId="BodyText">
    <w:name w:val="Body Text"/>
    <w:basedOn w:val="Normal"/>
    <w:semiHidden/>
    <w:rPr>
      <w:rFonts w:ascii="Times New Roman" w:hAnsi="Times New Roman"/>
      <w:sz w:val="24"/>
    </w:r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Times New Roman" w:hAnsi="Times New Roman"/>
      <w:sz w:val="24"/>
    </w:rPr>
  </w:style>
  <w:style w:type="paragraph" w:styleId="BodyText">
    <w:name w:val="Body Text"/>
    <w:basedOn w:val="Normal"/>
    <w:semiHidden/>
    <w:rPr>
      <w:rFonts w:ascii="Times New Roman" w:hAnsi="Times New Roman"/>
      <w:sz w:val="24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on Informal Hearings</vt:lpstr>
    </vt:vector>
  </TitlesOfParts>
  <Company>Abt Associates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on Informal Hearings</dc:title>
  <dc:subject/>
  <dc:creator>ABT User</dc:creator>
  <cp:keywords/>
  <cp:lastModifiedBy>linda bryant</cp:lastModifiedBy>
  <cp:revision>2</cp:revision>
  <cp:lastPrinted>1999-01-22T15:01:00Z</cp:lastPrinted>
  <dcterms:created xsi:type="dcterms:W3CDTF">2015-05-25T11:19:00Z</dcterms:created>
  <dcterms:modified xsi:type="dcterms:W3CDTF">2015-05-25T11:19:00Z</dcterms:modified>
</cp:coreProperties>
</file>